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20</w:t>
      </w:r>
    </w:p>
    <w:p>
      <w:r>
        <w:t>Bundesgericht (BGE), 1999-01-01, DE</w:t>
      </w:r>
    </w:p>
    <w:p>
      <w:r>
        <w:rPr>
          <w:b/>
        </w:rPr>
        <w:t xml:space="preserve">Quelle: </w:t>
      </w:r>
      <w:r>
        <w:t>https://mcp.opencaselaw.ch/entscheid/bge_BGE_126_III_20</w:t>
      </w:r>
    </w:p>
    <w:p>
      <w:r>
        <w:t>FR: ATF 126 III 20</w:t>
      </w:r>
    </w:p>
    <w:p>
      <w:r>
        <w:t>IT: DTF 126 III 20</w:t>
      </w:r>
    </w:p>
    <w:p>
      <w:pPr>
        <w:pStyle w:val="Heading2"/>
      </w:pPr>
      <w:r>
        <w:t>Regeste</w:t>
      </w:r>
    </w:p>
    <w:p>
      <w:r>
        <w:t>Regeste Girovertrag; Überweisungsauftrag im beleglosen Zahlungsverkehr nach dem SWIFT-Verfahren. Sorgfaltspflicht der beauftragten Bank im Fall, dass nach dem Wortlaut des Überweisungsauftrags ein Widerspruch zwischen dem Namen des Empfängers und der Kontonummer besteht.</w:t>
      </w:r>
    </w:p>
    <w:p>
      <w:r>
        <w:t>Regeste Contrat de giro bancaire; ordre de virement donné dans le cadre du trafic des paiements sans justificatifs effectué par le réseau SWIFT. Devoir de diligence de la banque mandatée lorsque le texte de l'ordre de virement révèle l'existence d'une contradiction entre le nom du destinataire et le numéro du compte.</w:t>
      </w:r>
    </w:p>
    <w:p>
      <w:r>
        <w:t>Regesto Contratto di giro bancario; ordine di trasferimento nell'ambito di operazioni di pagamento senza giustificativi secondo la procedura SWIFT. Dovere di diligenza della banca mandataria laddove il testo dell'ordine di trasferimento rivele una contraddizione tra il nome del destinatario e il numero del conto.</w:t>
      </w:r>
    </w:p>
    <w:p>
      <w:pPr>
        <w:pStyle w:val="Heading2"/>
      </w:pPr>
      <w:r>
        <w:t>Erwägungen</w:t>
      </w:r>
    </w:p>
    <w:p>
      <w:r>
        <w:rPr>
          <w:b/>
        </w:rPr>
        <w:t>E. 3</w:t>
      </w:r>
    </w:p>
    <w:p>
      <w:r>
        <w:t>a) aa) Zutreffend gehen sowohl die Vorinstanz als auch die Beklagte davon aus, dass der Girovertrag den Regeln des einfachen BGE 126 III 20 S. 22 Auftrages untersteht. Die beauftragte Bank haftet demnach ihrem Kunden gemäss Art. 398 Abs. 2 OR für getreue und sorgfältige Ausführung des Zahlungsverkehrs (BISCHOFF, Tatsächliche Bedeutung und rechtliche Regelung des grenzüberschreitenden Zahlungsverkehrs in der Schweiz, in: Hadding/Schneider [Hrsg.], Rechtsprobleme der Auslandüberweisung, Berlin 1992, S. 351). Ein im Rahmen eines Girovertrages erteilter Überweisungsauftrag ist als Weisung an die beauftragte Bank zu betrachten, mit welcher der Girovertrag konkretisiert wird; gleichzeitig liegt eine Anweisung im Sinne von Art. 466 ff. OR vor ( BGE 110 II 283 E. 1 S. 284 f.; HESS, Rechtliche Aspekte der Banküberweisung unter besonderer Berücksichtigung des Interbankzahlungsverkehrssystems Swiss Interbank Clearing [SIC], SZW 1991, S. 103 f. und 105; GUGGENHEIM, Die Verträge der schweizerischen Bankpraxis, 3. Auflage, Zürich 1986, S. 234; KLEINER, Bankkonto-, Giro- und Kontokorrentvertrag, in: Innominatverträge, Festgabe zum 60. Geburtstag von Walter René Schluep, Zürich 1988, S. 280; BISCHOFF, a.a.O., S. 353 f. und S. 356). Der Inhalt der Verpflichtung der mit einer Überweisung beauftragten Bank richtet sich grundsätzlich allein nach ihrer Vereinbarung mit dem Anweisenden. Von den zugrunde liegenden Rechtsbeziehungen zwischen dem Auftraggeber und dem Begünstigten ist sie demnach unabhängig, zumal die beauftragte Bank regelmässig keinen hinreichenden Einblick in die Absichten und Dispositionen des Auftraggebers hat ( BGE 124 III 253 E. 3c S. 257 mit Hinweisen). bb) Nach dem Gesagten durfte die Beklagte von dritter Seite stammende Anhaltspunkte dafür, dass die Klägerin tatsächlich über V. E. die R. begünstigen wollte, nicht als Anlass nehmen, den Zahlungsauftrag der Bank D. abzuändern. Daran ändert auch die Tatsache nichts, dass der Überweisungsauftrag in der Form, wie er erteilt wurde, undurchführbar war. Wie im Folgenden zu zeigen sein wird, bestand kein Raum für eine Auslegung des widersprüchlichen Überweisungsauftrages durch die Beklagte. Damit fällt eine Berücksichtigung des Drittverhaltens als Auslegungshilfe ausser Betracht. Für allfällige nachträgliche Bestätigungsschreiben über die Richtigkeit der Zahlung gälte dies ohnehin, da im Rahmen der Vertrauensauslegung einzig jene Umstände zu berücksichtigen sind, die der betroffenen Partei im fraglichen Zeitpunkt bekannt waren ( BGE 107 II 417 E. 6 S. 418). b) aa) Die in der deutschen Rechtsprechung vertretene Auffassung, als Inhalt der girovertraglichen Weisung stehe der Name des Zahlungsempfängers im Vordergrund, nicht die Kontonummer, BGE 126 III 20 S. 23 beruht auf dem Gedanken, dass ein Verschreiben bei Namen weniger oft vorkomme als bei Zahlen und so ein geringeres Verwechslungsrisiko eingegangen werde (HADDING/HÄUSER, Rechtsfragen des Giroverhältnisses, Zeitschrift für das gesamte Handelsrecht und Wirtschaftsrecht 1981, S. 144). Die auftragsrechtliche Sorgfaltspflicht gebietet dem Überweisungsbeauftragten auch nach schweizerischem Recht, eine Falschzahlung nach Möglichkeit zu vermeiden. Werden im Interbankverkehr sowohl die Kontonummer als auch der Name des Kontoinhabers angegeben, lässt sich die Kongruenz der beiden Angaben ohne weiteres überprüfen. Das SWIFT-Verfahren sieht die Bezeichnung sowohl des Kontos als auch des Namens des Begünstigten vor; diese doppelte Identifikation des Empfängerkontos soll auch hier offensichtlich Verwechslungen und Irrtümern entgegenwirken. Wo das für eine Überweisung verwendete Verfahren einen Schutz durch doppelte Identifikation vorsieht, darf die beauftragte Bank entsprechende Angaben, mit denen der Auftraggeber sich gegen Fehlüberweisungen absichern will, nicht einfach ignorieren. Ihre auftragsrechtliche Sorgfaltspflicht bedingt vielmehr, dass sie durch eine Kontrolle der beiden Angaben das Ihrige zur Vermeidung einer Verwechslung beiträgt. Im Falle von Widersprüchlichkeiten in den zur Identifikation des Empfängerkontos gemachten Angaben ist es daher der beauftragten Bank versagt, den Zahlungsauftrag in der einen oder anderen Weise zu interpretieren (GUGGENHEIM, a.a.O., S. 246). Ob die Bank allenfalls auf die Benennung des Empfängers abstellen dürfte, wenn hinsichtlich der Kontonummer klarerweise eine Verwechslung vorliegt, braucht hier nicht erörtert zu werden, da die als Begünstigte bezeichnete O. bei der Beklagten gar kein Konto führte und dies daher ohnehin nicht in Frage kam. Jedenfalls darf sie aber die Überweisung nicht allein gestützt auf die Kontonummer vornehmen, obwohl der Name des Begünstigten nicht mit demjenigen des Kontoinhabers übereinstimmt; dass vorliegend die R. im Überweisungsauftrag genannt wurde und gewisse Hinweise dafür bestanden, dass diese begünstigt werden sollte, ändert daran nichts, verblieb doch damit die Unsicherheit darüber, weshalb als Begünstigte die O. genannt wurde. Die Beklagte hätte daher, da keine erkennbare Schädigungsgefahr aufgrund der Verzögerung bestand, mit der Auftraggeberin Rücksprache nehmen und mit der Vornahme der Gutschrift zuwarten müssen, bis eine unmissverständliche Weisung vorlag. bb) Entgegen der Ansicht der Beklagten ist nicht anders zu entscheiden, wenn die Überweisung auf ein Nummernkonto erfolgt. BGE 126 III 20 S. 24 Eine Überweisung allein gestützt auf die Kontonummer ist nicht weniger verwechslungsgefährdet, wenn es sich um ein Nummernkonto handelt. Bezeichnenderweise wurden denn bei der fraglichen Überweisung auch sowohl die Kontonummer als auch der Empfängername angegeben. Weshalb die Vermeidung des Gebrauchs der Namen von Nummernkontoinhabern im bankexternen Verkehr dazu führen sollte, dass im bankinternen Verkehr, wo der Name verwendet wird, geringere Sorgfaltsanforderungen an eine mit einer Überweisung beauftragte Bank zu stellen wären, ist nicht ersichtlich. cc) Die genannten Grundsätze gelten auch im beleglosen Zahlungsverkehr. Auch hier besteht hinsichtlich der Kontonummern keine geringere Verwechslungsgefahr als im beleggebundenen Zahlungsverkehr. Dass die Prüfung der Übereinstimmung von Kontonummer und Namen des Empfängers einen grösseren EDV-Aufwand bedingt als die Berücksichtigung einzig der Nummer, kann nicht dazu führen, dass im beleglosen Zahlungsverkehr geringere Anforderungen an die Sorgfaltspflicht der beauftragten Bank zu stellen wären (a.A. für das deutsche Recht SUSANNE WIMMER-LEONHARDT, Die Haftung gegenüber den Bankkunden im mehrgliedrigen Zahlungsverkehr, Diss. Saarbrücken 1996, S. 56); vielmehr haben die Banken die verwendeten Kommunikationsverfahren den an sie gestellten Sorgfaltsanforderungen anzupassen. c) Diese Auffassung deckt sich im Übrigen mit der von der Beklagten angeführten Regel, wonach im internationalen Zahlungsverkehr derjenige das Fehlerrisiko tragen solle, der es kontrollieren könne. Inwiefern die Möglichkeit, das dem Überweisungsauftrag zugrundeliegende Schreiben der O. vom 10. Juli 1995 als mögliche Fälschung zu entlarven, Anlass gäbe, das Risiko für eine unkorrekte Auftragsabwicklung letztlich der Klägerin zu überbürden, ist nicht ersichtlich. Wohl war sodann bereits der von der Klägerin ausgestellte Überweisungsauftrag unrichtig ausgefüllt. Damit setzte sie sich dem Risiko aus, dass es aufgrund der Notwendigkeit von Rückfragen zu Verzögerungen kommen könnte. Zumal es aber der Beklagten möglich und in Anbetracht ihrer auftragsrechtlichen Sorgfaltspflicht zumutbar war, die im Überweisungsauftrag gemachten Angaben zum Zweck der korrekten Ausführung zu überprüfen, unterlagen diesbezügliche Fehler, namentlich die Überweisung an einen anderen als den genannten Begünstigten, ihrem Kontroll- und Risikobereich.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