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189</w:t>
      </w:r>
    </w:p>
    <w:p>
      <w:r>
        <w:t>Bundesgericht (BGE), 2000-01-01, FR</w:t>
      </w:r>
    </w:p>
    <w:p>
      <w:r>
        <w:rPr>
          <w:b/>
        </w:rPr>
        <w:t xml:space="preserve">Quelle: </w:t>
      </w:r>
      <w:r>
        <w:t>https://mcp.opencaselaw.ch/entscheid/bge_BGE_126_III_189</w:t>
      </w:r>
    </w:p>
    <w:p>
      <w:r>
        <w:t>FR: ATF 126 III 189</w:t>
      </w:r>
    </w:p>
    <w:p>
      <w:r>
        <w:t>IT: DTF 126 III 189</w:t>
      </w:r>
    </w:p>
    <w:p>
      <w:pPr>
        <w:pStyle w:val="Heading2"/>
      </w:pPr>
      <w:r>
        <w:t>Regeste</w:t>
      </w:r>
    </w:p>
    <w:p>
      <w:r>
        <w:t>Regeste Darlehen. Höhe der vereinbarten Zinsen (Art. 313 Abs. 1 OR). Wenn feststeht, dass der Darleiher und der Borger die Zahlung von Zinsen vereinbart haben, so muss der Richter, wenn ersterer die Zinshöhe nicht nachweisen konnte, diese in analoger Anwendung von Art. 73 Abs. 1 OR auf 5% pro Jahr festlegen (E. 2).</w:t>
      </w:r>
    </w:p>
    <w:p>
      <w:r>
        <w:t>Regeste Prêt de consommation. Taux des intérêts stipulés (art. 313 al. 1 CO). Lorsqu'il est certain que le prêteur et l'emprunteur sont convenus du paiement d'un intérêt, le juge, si le premier n'a pas pu en établir le taux, doit le fixer à 5% l'an, par application analogique de l'art. 73 al. 1 CO (consid. 2).</w:t>
      </w:r>
    </w:p>
    <w:p>
      <w:r>
        <w:t>Regesto Mutuo. Tasso degli interessi stipulati (art. 313 cpv. 1 CO). Qualora sia certo che mutuante e mutuatario hanno pattuito il pagamento di interessi e il primo non abbia potuto dimostrarne l'ammontare, il giudice deve riconoscere un tasso d'interesse del 5%, applicando per analogia l'art. 73 cpv. 1 CO (consid. 2).</w:t>
      </w:r>
    </w:p>
    <w:p>
      <w:pPr>
        <w:pStyle w:val="Heading2"/>
      </w:pPr>
      <w:r>
        <w:t>Erwägungen</w:t>
      </w:r>
    </w:p>
    <w:p>
      <w:r>
        <w:rPr>
          <w:b/>
        </w:rPr>
        <w:t>E. 2</w:t>
      </w:r>
    </w:p>
    <w:p>
      <w:r>
        <w:t>a) Il n'est ni contesté ni contestable que les parties ont conclu deux prêts de consommation ( art. 312 CO ), lesquels prévoyaient le paiement d'un intérêt ( art. 313 al. 1 CO ). Elles sont convenues d'appliquer le taux pratiqué pour les prêts hypothécaires en deuxième rang. Selon la formulation adoptée, la mention du taux au moment de la conclusion du contrat n'avait qu'une valeur indicative, permettant peut-être de déterminer la banque de référence, mais ne modifiant en rien le taux choisi, qui restait celui des prêts hypothécaires en deuxième rang. Sur ce point, l'interprétation des clauses contractuelles faites par la cour cantonale - qui diverge de celle du juge de première instance - est conforme au principe de la confiance et ne viole nullement le droit fédéral (sur le principe de la confiance: cf. ATF 125 III 305 consid. 2b, 435 consid. 2a/aa; ATF 122 III 106 consid. 5a, 420 consid. 3a; sur son contrôle dans un recours en réforme: cf. ATF 125 III 305 consid. 2b p. 308; ATF 123 III 165 consid. 3a; ATF 122 III 106 consid. 5a, 420 consid. 3a; ATF 121 III 118 consid. 4b/aa). La cour cantonale a constaté que le taux de l'intérêt hypothécaire en deuxième rang n'avait pas été prouvé pour la période des prêts. Il s'agit d'une question d'appréciation des preuves et d'établissement des faits qui ne peut être revue dans un recours en réforme (cf. ATF 122 III 26 consid. 4a/aa, 61 consid. 2c/bb, 73 consid. 6b/bb p. 80; ATF 121 III 350 consid. 7c). Si l'on sait que le taux était de 8,5% le 1er octobre 1991 et de 6 % le 3 août 1994, on ignore totalement quelles ont été ses variations entre ces deux dates et son évolution après la dernière d'entre elles. Un calcul de l'intérêt sur la base de ces deux chiffres isolés est donc impossible. La cour cantonale a estimé qu'il ne lui appartenait pas de rechercher elle-même le taux hypothécaire en deuxième rang. Cette question relève de la procédure cantonale et ne peut être examinée dans un recours en réforme (cf. ATF 116 II 196 consid. 3a, 594 consid. 3a). Il faut donc tirer les conséquences de l'absence de preuves. b) Selon l' art. 8 CC , chaque partie doit, si la loi ne prescrit le contraire, prouver les faits qu'elle allègue pour en déduire son droit. Cette disposition répartit le fardeau de la preuve ( ATF 122 III 219 consid. 3c) et détermine sur cette base qui doit assumer les conséquences de l'échec de la preuve ( ATF 125 III 78 consid. 3b). En tant BGE 126 III 189 S. 192 que créancier réclamant le paiement des intérêts, l'intimé devait prouver les faits permettant d'établir la quotité de sa prétention (cf. MAX KUMMER, Commentaire bernois, n. 249 et 250 ad art. 8 CC ). L'absence de preuves conduit donc à trancher en sa défaveur. Quoi qu'en pense l'intimé, la cour cantonale a donc violé sur ce point l' art. 8 CC en renversant le fardeau de la preuve. c) Contrairement à ce que soutient le recourant, cela ne conduit pas à exclure tout intérêt, ce qui serait en contradiction manifeste avec la convention des parties. Lorsqu'un taux d'intérêt applicable n'a pas été prouvé, mais qu'il est certain que les parties sont convenues du paiement d'un intérêt, le juge doit appliquer, au moins par analogie, la règle supplétive de l' art. 73 al. 1 CO et fixer le taux à 5% l'an (cf. par analogie : ATF 121 III 176 consid. 5a). Le recours doit donc être partiellement admis et l'arrêt cantonal réformé dans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