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119</w:t>
      </w:r>
    </w:p>
    <w:p>
      <w:r>
        <w:t>Bundesgericht (BGE), 2000-01-01, DE</w:t>
      </w:r>
    </w:p>
    <w:p>
      <w:r>
        <w:rPr>
          <w:b/>
        </w:rPr>
        <w:t xml:space="preserve">Quelle: </w:t>
      </w:r>
      <w:r>
        <w:t>https://mcp.opencaselaw.ch/entscheid/bge_BGE_126_III_119</w:t>
      </w:r>
    </w:p>
    <w:p>
      <w:r>
        <w:t>FR: ATF 126 III 119</w:t>
      </w:r>
    </w:p>
    <w:p>
      <w:r>
        <w:t>IT: DTF 126 III 119</w:t>
      </w:r>
    </w:p>
    <w:p>
      <w:pPr>
        <w:pStyle w:val="Heading2"/>
      </w:pPr>
      <w:r>
        <w:t>Regeste</w:t>
      </w:r>
    </w:p>
    <w:p>
      <w:r>
        <w:t>Regeste Rückforderungsanspruch aufgrund zuviel bezahlter Akontozahlungen. Der Anspruch auf Rückerstattung zuviel bezahlter Akontozahlungen ergibt sich entgegen der in BGE 107 II 220 geäusserten Ansicht nicht aus Art. 62 ff. OR, sondern aus Vertrag (E. 2 und 3).</w:t>
      </w:r>
    </w:p>
    <w:p>
      <w:r>
        <w:t>Regeste Droit d'exiger la restitution d'acomptes payés en trop. Le droit au remboursement d'acomptes payés en trop ne découle pas, contrairement à l'opinion exprimée à l'ATF 107 II 220, des art. 62 ss CO, mais du contrat (consid. 2 et 3).</w:t>
      </w:r>
    </w:p>
    <w:p>
      <w:r>
        <w:t>Regesto Diritto di esigere la restituzione di acconti pagati di troppo. Il diritto alla restituzione di acconti pagati di troppo non deriva, contrariamente all'opinione espressa in DTF 107 II 220, dagli art. 62 segg. CO, bensì dal contratto (consid. 2 e 3).</w:t>
      </w:r>
    </w:p>
    <w:p>
      <w:pPr>
        <w:pStyle w:val="Heading2"/>
      </w:pPr>
      <w:r>
        <w:t>Erwägungen</w:t>
      </w:r>
    </w:p>
    <w:p>
      <w:r>
        <w:rPr>
          <w:b/>
        </w:rPr>
        <w:t>E. 2</w:t>
      </w:r>
    </w:p>
    <w:p>
      <w:r>
        <w:t>Es ist unbestritten, dass der Kläger dem Beklagten akonto Gewinnbeteiligung einen Betrag von Fr. 30'200.- ausgerichtet hat und dass ein Gewinn nicht erwirtschaftet worden ist. Unter den Parteien ist jedoch streitig, ob der Beklagte bei einem Geschäftsverlust zur Rückzahlung dieser Akontozahlungen verpflichtet ist. Der Beklagte macht in der Berufungsantwort geltend, eine solche Rückzahlungspflicht sei gemäss der vertraglichen Abrede der Parteien nicht vereinbart gewesen. a) Die Vorinstanz hat bezüglich der Rückzahlung der Gewinnbeteiligung bei einem Geschäftsverlust keinen übereinstimmenden wirklichen Parteiwillen festgestellt. Für die Auslegung des zwischen den Parteien geschlossenen Vertrages ist deshalb das Vertrauensprinzip massgebend. Demnach ist die Gewinnbeteiligungsklausel so auszulegen, wie sie nach ihrem Wortlaut und Zusammenhang sowie den gesamten Umständen verstanden werden durfte und musste ( BGE 125 III 435 E. 2a/aa S. 436/7; BGE 123 III 35 E. 2b S. 39/40; BGE 121 III 118 E. 4b/aa S. 123). b) Gemäss der ausdrücklichen vertraglichen Vereinbarung war neben dem festen Lohn von Fr. 4'500.- monatlich ein weiterer Betrag von Fr. 1'000.- als "à cto Zahlung" geschuldet. Mit der Vorinstanz ist davon auszugehen, dass der Begriff "Akontozahlung" klar darauf hindeutet, dass es sich bei den unter diesem Titel erbrachten monatlichen Leistungen bloss um vorläufige Zahlungen handelte, bis aufgrund des Geschäftsabschlusses der definitive Gewinnanteil ermittelt werden konnte. Die Parteien haben denn auch ausdrücklich eine Abrechnungspflicht vereinbart. Eine solche macht aber nur dann Sinn, wenn die Aktontozahlungen und der ausgewiesene Gewinnanspruch gegeneinander aufgerechnet werden. Die Vereinbarung der Akontozahlung und der Abrechnungspflicht muss deshalb nach Treu und Glauben dahingehend ausgelegt werden, dass die Differenz zwischen geleisteten Akontozahlungen und dem durch die Abrechnung festgestellten effektiven vertraglichen Anspruch auszugleichen ist. Es ist nicht umstritten, dass der Kläger zu Nachleistungen verpflichtet gewesen wäre, wenn der dem Beklagten zustehende Gewinnanteil die Akontozahlungen überschritten hätte. Dies ergibt sich auch aus der Vertragsklausel, wonach der Beklagte den BGE 126 III 119 S. 121 Fr. 12'000.- übersteigenden Gewinnanteil bis am 31.12.1994 als Darlehen stehen lässt. Korrelat dieser Nachzahlungsverpflichtung des Klägers ist aufgrund des provisorischen Charakters der Akontozahlung eine Rückzahlungspflicht des Beklagten, soweit die Akontozahlungen die Höhe seines Anspruchs überstiegen. Die Partei, welche die Akontozahlungen entgegennimmt, übernimmt durch stillschweigende vertragliche Nebenabrede nämlich vermutungsweise die Pflicht, einen allfälligen Überschuss herauszugeben (vgl. EUGEN BUCHER, Hundert Jahre schweizerisches Obligationenrecht: Wo stehen wir heute im Vertragsrecht?, ZSR 102/1983 II S. 331). c) Der Ansicht des Beklagten, eine Rückleistung bei einem Verlust sei nicht fixiert worden, kann nicht gefolgt werden. Dies würde bedeuten, dass der Beklagte Anspruch auf einen Mindestlohn von Fr. 5'500.- gehabt hätte. Dann aber wäre nicht einzusehen, weshalb die Parteien überhaupt einen festen Lohn von nur Fr. 4'500.- und nicht zum Vornherein einen solchen von Fr. 5'500.- und allenfalls darüberhinaus ein Gewinnbeteiligungsrecht vereinbart haben sollten. Weil im Rahmen der objektivierten Auslegung nicht anzunehmen ist, dass die Parteien eine unangemessene Lösung gewollt haben ( BGE 122 III 420 E. 3a S. 424 mit Hinweisen), ist die vom Beklagten vertretene Auffassung abzulehnen.</w:t>
      </w:r>
    </w:p>
    <w:p>
      <w:r>
        <w:rPr>
          <w:b/>
        </w:rPr>
        <w:t>E. 3</w:t>
      </w:r>
    </w:p>
    <w:p>
      <w:r>
        <w:t>a) Die Vorinstanz erwog, die dem Beklagten monatlich bezahlten Beträge akonto Gewinnbeteiligung seien im Hinblick auf den zukünftig erwarteten Gewinn ausbezahlt worden. Da ein solcher jedoch nicht erzielt worden sei, habe sich der Grund für die geleisteten Zahlungen nicht verwirklicht. Die Rückforderung richte sich deshalb grundsätzlich nach Bereicherungs- und nicht nach Vertragsrecht (condictio ob causam futuram). Für die Verjährung der Rückforderung des zuviel ausbezahlten Gewinnanteils sei daher Art. 67 OR massgebend, weshalb der Rückforderungsanspruch für die in den Jahren 1993 und 1994 zuviel ausbezahlte Gewinnbeteiligung verjährt und ein durchsetzbarer Anspruch des Klägers unter diesem Titel nur für die 1995 ausbezahlten Akontozahlungen in der Höhe von Fr. 10'000.- gegeben sei. b) Nach herrschender Lehre und Praxis schliesst ein vertraglicher Anspruch einen Bereicherungsanspruch aus ( BGE 114 II 152 E. 2c/aa S. 156 und E. 2d S. 159; BGE 107 II 220 ; SCHWENZER, Schweizerisches Obligationenrecht Allgemeiner Teil, Rz. 59.11; GAUCH/SCHLUEP/SCHMID, Schweizerisches Obligationenrecht Allgemeiner Teil, 7. Aufl. 1998, Rz. 1507; ENGEL, Traité des obligations en droit suisse, 2e édition 1997, S. 583; SCHULIN, Basler Kommentar, N. 38 BGE 126 III 119 S. 122 zu Art. 62 OR ; GUHL/MERZ/KOLLER, Das Schweizerische Obligationenrecht, 8. Aufl. 1991, S. 204; EUGEN BUCHER, Schweizerisches Obligationenrecht Allgemeiner Teil, 2. Aufl. 1988, S. 661; VON TUHR/PETER, Allgemeiner Teil des Schweizerischen Obligationenrechts Band I, 3. Aufl. 1979, S. 520). Solange ein vertraglicher Anspruch besteht, hat weder der Gläubiger eine wirtschaftliche Einbusse noch der Schuldner eine Vermögensvermehrung erfahren. Wird eine vertraglich geschuldete Leistung erbracht, so stellt der gültige Vertrag zudem einen Rechtsgrund dar, weshalb der Leistungsempfänger nicht in ungerechtfertigter Weise bereichert sein kann. c) In der neueren Lehre und Rechtsprechung ist eine generelle Tendenz ersichtlich, Ansprüche vermehrt auf vertragliche denn auf bereicherungsrechtliche Grundlage zu stützen (vgl. GUHL/MERZ/KOLLER, a.a.O., S. 240). Das Bundesgericht hat in BGE 114 II 152 in Abweichung von BGE 60 II 27 erkannt, bei einem Vertragsrücktritt gemäss Art. 109 OR werde das Vertragsverhältnis in ein Liquidationsverhältnis umgewandelt, so dass namentlich die Rückleistungspflichten gemäss Art. 109 Abs. 1 OR als vertragliche zu qualifizieren seien. In der Lehre wurde diese Entwicklung mehrheitlich begrüsst (vgl. etwa GAUCH, Wirkung des Rücktritts und Verjährung des Rückforderungsanspruchs bei Schuldnerverzug, recht 4/1989 S. 126; WIEGAND, Basler Kommentar, N. 4 zu Art. 109 OR ; SCHWENZER, a.a.O., Rz. 66.33; GAUCH/SCHLUEP/SCHMID, a.a.O., Rz. 1572 ff. mit Hinweisen auf ablehnende Auffassungen). Ein Teil der Autoren geht sogar noch weiter und möchte im Gegensatz zur bundesgerichtlichen Rechtsprechung ( BGE 114 II 131 E. 3 S. 141) auch irrtumsbehaftete Verträge nach vertraglichen Grundsätzen rückabwickeln (WIEGAND, Bemerkungen zum Picasso-Entscheid, recht 3/1989 S. 111; SCHMIDLIN, Berner Kommentar, N. 14 ff. zu Art. 31 OR ). Die aufgezeigte Tendenz schränkt den Anwendungsbereich des Bereicherungsrechts generell ein. Sie bekräftigt die Auffassung, dass ein Kondiktionsanspruch solange ausgeschlossen ist, als ein Anspruch auf Vertrag gestützt werden kann, sei es durch Auslegung oder Lückenfüllung. d) Die Parteien haben ausdrücklich Akontozahlungen und eine Abrechnungspflicht vereinbart. Wie dargelegt, muss daraus nach Treu und Glauben geschlossen werden, dass der Beklagte zur Rückleistung von zuviel erhaltenen Akontozahlungen verpflichtet ist (E. 2). Der Rückforderungsanspruch des Klägers aufgrund zuviel bezahlter Akontozahlungen ergibt sich demnach aus dem Vertrag. Ein Bereicherungsanspruch ist somit ausgeschlossen. BGE 126 III 119 S. 123 e) Soweit aus BGE 107 II 220 , welcher in einem staatsrechtlichen Beschwerdeverfahren unter dem beschränkten Gesichtswinkel der Willkür ergangen ist, etwas anderes abgeleitet werden könnte, kann daran nicht festgehalten werden. In der Lehre ist dieser Entscheid auch auf Kritik gestossen (BUCHER, a.a.O. in ZSR 102/1983 II S. 331/2; GAUCH, BR 1982 S. 58; derselbe, Der Werkvertrag, 4. Aufl. 1996, N. 1270; GAUCH/SCHLUEP/SCHMID, a.a.O., N. 1508). Die übrigen von der Vorinstanz zur Begründung der bereicherungsrechtlichen Natur des klägerischen Anspruchs angeführten Präjudizien sind für den vorliegenden Fall nicht einschlägig: In BGE 42 II 674 stand die Rückleistung von zu Unrecht erbrachten Versicherungsleistungen in Frage; in BGE 52 II 228 ging es um die Rückerstattung von pränumerando bezahlten Zinsen, nachdem das Darlehensverhältnis vorzeitig beendet wurde; BGE 64 II 132 betraf einen Fall, in dem ein Pächter aufgrund eines irrtumsbehafteten Vertrages zuviel Pachtzins bezahlte; in BGE 110 II 335 wurden Leistungen, welche aufgrund eines nichtigen Rechtsgeschäftes erbracht wurden, zurückgefordert; BGE 119 II 20 schliesslich betraf eine Leistung im Hinblick auf einen künftigen Vertragsschluss, welcher nicht zustandekam. Diese Fälle unterscheiden sich vom vorliegenden alle dadurch, dass ein Rechtsgrund für die Zahlung entweder gänzlich fehlte oder nachträglich wegfiel. Daraus kann für den zu beurteilenden Fall, in dem die Akontozahlungen vertraglich geschuldet und eine Abrechnungs- und Ausgleichungspflicht vereinbart war, nichts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