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V 65</w:t>
      </w:r>
    </w:p>
    <w:p>
      <w:r>
        <w:t>Bundesgericht (BGE), 1999-01-01, FR</w:t>
      </w:r>
    </w:p>
    <w:p>
      <w:r>
        <w:rPr>
          <w:b/>
        </w:rPr>
        <w:t xml:space="preserve">Quelle: </w:t>
      </w:r>
      <w:r>
        <w:t>https://mcp.opencaselaw.ch/entscheid/bge_BGE_125_V_65</w:t>
      </w:r>
    </w:p>
    <w:p>
      <w:r>
        <w:t>FR: ATF 125 V 65</w:t>
      </w:r>
    </w:p>
    <w:p>
      <w:r>
        <w:t>IT: DTF 125 V 65</w:t>
      </w:r>
    </w:p>
    <w:p>
      <w:pPr>
        <w:pStyle w:val="Heading2"/>
      </w:pPr>
      <w:r>
        <w:t>Regeste</w:t>
      </w:r>
    </w:p>
    <w:p>
      <w:r>
        <w:t>Regeste Art. 84 AHVG; Art. 21 Abs. 1 und Art. 35 VwVG; Art. 32 Abs. 3 OG: Rechtsmittelbelehrung in Verfügungen, die an einen im Ausland wohnhaften Versicherten gerichtet sind; Übergabe einer Beschwerdeschrift an eine ausländische Poststelle. Um sich gegenüber einem im Ausland wohnhaften Versicherten auf die in Art. 21 Abs. 1 VwVG enthaltene Regel berufen zu können, wonach eine Beschwerdeschrift der schweizerischen Post zu übergeben ist, muss die Verwaltung diese Gesetzesbestimmung in der Rechtsmittelbelehrung wörtlich wiedergeben.</w:t>
      </w:r>
    </w:p>
    <w:p>
      <w:r>
        <w:t>Regeste Art. 84 LAVS; art. 21 al. 1 et art. 35 PA; art. 32 al. 3 OJ: Indication des voies de droit dans une décision adressée à un assuré domicilié à l'étranger; remise d'un acte de recours à un office postal étranger. Pour pouvoir se prévaloir à l'égard d'un assuré domicilié à l'étranger de la règle prévue à l'art. 21 al. 1 PA, concernant l'exigence de la remise d'un acte de recours à un bureau de poste suisse, l'autorité administrative doit mentionner textuellement cette disposition légale dans l'indication des voies de droit.</w:t>
      </w:r>
    </w:p>
    <w:p>
      <w:r>
        <w:t>Regesto Art. 84 LAVS; art. 21 cpv. 1 e art. 35 PA; art. 32 cpv. 3 OG: Indicazione dei rimedi di diritto in una decisione indirizzata a un assicurato domiciliato all'estero; consegna di un atto di ricorso a un ufficio postale estero. Per potersi prevalere nei confronti di un assicurato domiciliato all'estero della disciplina di cui all'art. 21 cpv. 1 PA, relativa all'esigenza della consegna di un atto di ricorso a un ufficio postale svizzero, l'autorità amministrativa deve menzionare testualmente questo disposto legale nell'indicazione dei rimedi di diritto.</w:t>
      </w:r>
    </w:p>
    <w:p>
      <w:pPr>
        <w:pStyle w:val="Heading2"/>
      </w:pPr>
      <w:r>
        <w:t>Erwägungen</w:t>
      </w:r>
    </w:p>
    <w:p>
      <w:r>
        <w:rPr>
          <w:b/>
        </w:rPr>
        <w:t>E. 1</w:t>
      </w:r>
    </w:p>
    <w:p>
      <w:r>
        <w:t>Dans la mesure où le recourant invoque à l'appui de ses conclusions le grief de formalisme excessif le recours est infondé. En effet, comme cela ressort de la jurisprudence, l'exigence de la remise d'un envoi postal à la Poste Suisse (selon la nouvelle formulation de l' art. 32 al. 3 OJ qui devrait aussi s'appliquer à l' art. 21 al. 1 PA ) ne constitue précisément pas un formalisme excessif. C'est ainsi que, dans un arrêt du 19 février 1971, le Tribunal fédéral a jugé que la réception d'un acte juridique soumis à un délai constitue une espèce d'acte de la puissance publique ne pouvant appartenir qu'à un bureau de poste suisse. Le fait que la Poste Suisse est mise sur le même pied que l'autorité officielle - en ce qui concerne la faculté de recevoir des actes judiciaires avec plein effet du point de vue de la procédure - est une concession faite aux exigences du trafic ( ATF 97 I 6 ). BGE 125 V 65 S. 67 Dans un arrêt du 14 février 1978, le Tribunal fédéral a précisé que la règle selon laquelle un acte de recours doit être remis en temps utile à un bureau de poste suisse a été adoptée pour des motifs sérieux. Il n'est nullement exclu que, dans certains pays, la date du sceau postal puisse ne pas correspondre à celle de la remise de l'envoi. Par ailleurs, la règle précitée permet d'éviter que l'autorité judiciaire ne sache pas, durant un laps de temps plus ou moins long, si une décision est attaquée ou pas. Afin de respecter le principe de l'égalité de traitement, une telle règle doit être appliquée de manière stricte. Dans ce contexte, le grief de formalisme excessif est infondé ( ATF 104 Ia 5 consid. 3). De son côté, la Cour de céans a jugé que la remise d'un acte de recours à un bureau de poste étranger n'est pas assimilée à la remise à un bureau de poste suisse et est donc inefficace (arrêt non publié Y. du 23 juin 1993).</w:t>
      </w:r>
    </w:p>
    <w:p>
      <w:r>
        <w:rPr>
          <w:b/>
        </w:rPr>
        <w:t>E. 2</w:t>
      </w:r>
    </w:p>
    <w:p>
      <w:r>
        <w:t>(Inapplicabilité à un ressortissant suisse de l'art. 8 de l'Arrangement administratif du 24 octobre 1980 concernant les modalités d'application de la Convention de sécurité sociale du 1er juin 1973 entre la Suisse et la Grèce [RS 0.831.109.372.11; RO 1981 184].)</w:t>
      </w:r>
    </w:p>
    <w:p>
      <w:r>
        <w:rPr>
          <w:b/>
        </w:rPr>
        <w:t>E. 3</w:t>
      </w:r>
    </w:p>
    <w:p>
      <w:r>
        <w:t>a) Dans un arrêt du 22 janvier 1998, mettant en cause un assuré domicilié en Turquie, le Tribunal fédéral des assurances a jugé que l'indication des voies de droit au pied d'une décision rendue en matière d'assurance-accidents était incomplète, car elle se bornait à mentionner qu'une opposition écrite devait être adressée au siège de l'assureur-accidents - en l'espèce la CNA - à Lucerne. Or, pour respecter ses obligations d'organisme de droit public agissant dans l'exercice de ses compétences décisionnelles, l'assureur-accidents aurait également dû mentionner dans sa décision que l'assuré avait le droit de s'exprimer en turc et qu'il pouvait aussi adresser son opposition à l'Institut des assurances sociales à Ankara, ainsi que le prévoit la Convention de sécurité sociale turco-suisse du 1er mai 1969 ( ATF 124 V 51 consid. 4). b) Cette jurisprudence s'applique également dans le domaine de l'AVS/AI, lorsqu'il existe une disposition conventionnelle analogue, aussi bien pour les décisions de l'autorité administrative ( art. 21 al. 1 PA ), que pour les jugements de l'autorité de recours de première instance ( art. 32 al. 3 OJ ).</w:t>
      </w:r>
    </w:p>
    <w:p>
      <w:r>
        <w:rPr>
          <w:b/>
        </w:rPr>
        <w:t>E. 4</w:t>
      </w:r>
    </w:p>
    <w:p>
      <w:r>
        <w:t>En l'espèce, c'est avec raison que le recourant se plaint d'une indication insuffisante des voies de recours dans la décision administrative litigieuse ( art. 35 PA ). A cet égard, ainsi que le Tribunal fédéral des BGE 125 V 65 S. 68 assurances l'a précisé dans l'arrêt précité, on doit exiger d'une autorité administrative agissant dans l'exercice de ses compétences décisionnelles qu'elle renseigne de manière exacte et complète un assuré domicilié à l'étranger, lorsqu'il existe des règles particulières relatives à l'exercice formel du droit de recours contre sa décision. Cela résulte des principes de "Fairness" et d'égalité des armes qui protègent les intérêts de l'administré face à l'appareil administratif dans l'exercice de ses droits fondamentaux. En l'occurrence, pour pouvoir se prévaloir de l' art. 21 al. 1 PA , l'office intimé aurait dû mentionner en toutes lettres cette règle particulière du droit suisse dans la formule relative à l'indication des voies de recours jointe à sa décision du 5 août 1997. On ne saurait, en effet, dans ce contexte, se borner à invoquer l'adage "nul n'est censé ignorer la loi" pour imputer à faute au recourant le fait de n'avoir pas déposé son recours le 19 septembre 1997, soit à l'ambassade de Suisse à Athènes, soit dans un bureau de poste suisse. En conséquence, il convient d'annuler le jugement attaqué et de renvoyer la cause à la commission de recours pour qu'elle se prononce sur le fond.</w:t>
      </w:r>
    </w:p>
    <w:p>
      <w:r>
        <w:rPr>
          <w:b/>
        </w:rPr>
        <w:t>E. 5</w:t>
      </w:r>
    </w:p>
    <w:p>
      <w:r>
        <w:t>(Frais et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