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465</w:t>
      </w:r>
    </w:p>
    <w:p>
      <w:r>
        <w:t>Bundesgericht (BGE), 1988-06-21, IT</w:t>
      </w:r>
    </w:p>
    <w:p>
      <w:r>
        <w:rPr>
          <w:b/>
        </w:rPr>
        <w:t xml:space="preserve">Quelle: </w:t>
      </w:r>
      <w:r>
        <w:t>https://mcp.opencaselaw.ch/entscheid/bge_BGE_125_V_465</w:t>
      </w:r>
    </w:p>
    <w:p>
      <w:r>
        <w:t>FR: ATF 125 V 465</w:t>
      </w:r>
    </w:p>
    <w:p>
      <w:r>
        <w:t>IT: DTF 125 V 465</w:t>
      </w:r>
    </w:p>
    <w:p>
      <w:pPr>
        <w:pStyle w:val="Heading2"/>
      </w:pPr>
      <w:r>
        <w:t>Regeste</w:t>
      </w:r>
    </w:p>
    <w:p>
      <w:r>
        <w:t>Regeste Art. 8 Abs. 1 lit. c AVIG; Art. 20 lit. a des Übereinkommens Nr. 168 der Internationalen Arbeitsorganisation (IAO) über Beschäftigungsförderung und den Schutz gegen Arbeitslosigkeit vom 21. Juni 1988: Aufenthalt in der Schweiz als Anspruchserfordernis. Die zu Art. 8 Abs. 1 lit. c AVIG ergangene Rechtsprechung verletzt Art. 20 lit. a des Übereinkommens Nr. 168 über Beschäftigungsförderung und den Schutz gegen Arbeitslosigkeit vom 21. Juni 1988 nicht, soweit diese Bestimmung das Recht auf Ausrichtung von Leistungen von der Voraussetzung abhängig macht, dass sich der Ansprecher im Gebiet des leistenden Staates befindet.</w:t>
      </w:r>
    </w:p>
    <w:p>
      <w:r>
        <w:t>Regeste Art. 8 al. 1 let. c LACI; art. 20 let. a de la convention no 168 de l'Organisation internationale du travail (OIT) concernant la promotion de l'emploi et la protection contre le chômage du 21 juin 1988: Le droit à prestations suppose la résidence en Suisse. La jurisprudence concernant l'art. 8 al. 1 let. c LACI n'est pas contraire à l'art. 20 let. a de la convention no 168 concernant la promotion de l'emploi et la protection contre le chômage du 21 juin 1988, dans la mesure où cette disposition conventionnelle fait dépendre le droit à prestations de la condition que l'intéressé se trouve sur le territoire de l'Etat qui alloue les prestations.</w:t>
      </w:r>
    </w:p>
    <w:p>
      <w:r>
        <w:t>Regesto Art. 8 cpv. 1 lett. c LADI; art. 20 lett. a della Convenzione n. 168 dell'Organizzazione internazionale del lavoro (OIL) concernente la promozione dell'impiego e la protezione contro la disoccupazione del 21 giugno 1988: Residenza in Svizzera quale premessa per il diritto a prestazioni. La giurisprudenza sviluppata intorno all'art. 8 cpv. 1 lett. c LADI non viola l'art. 20 lett. a della Convenzione n. 168 concernente la promozione dell'impiego e la protezione contro la disoccupazione del 21 giugno 1988, nella misura in cui quest'ultimo disposto sottopone il diritto all'erogazione di prestazioni alla condizione che l'interessato si trovi sul territorio dello Stato erogante.</w:t>
      </w:r>
    </w:p>
    <w:p>
      <w:pPr>
        <w:pStyle w:val="Heading2"/>
      </w:pPr>
      <w:r>
        <w:t>Erwägungen</w:t>
      </w:r>
    </w:p>
    <w:p>
      <w:r>
        <w:rPr>
          <w:b/>
        </w:rPr>
        <w:t>E. 1</w:t>
      </w:r>
    </w:p>
    <w:p>
      <w:r>
        <w:t>Nella misura in cui la procedura di ricorso concerne l'assegnazione o il rifiuto di prestazioni assicurative,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2</w:t>
      </w:r>
    </w:p>
    <w:p>
      <w:r>
        <w:t>a) Secondo l'art. 8 cpv. 1 lett. c LADI ha diritto all'indennità di disoccupazione l'assicurato che risiede in Svizzera. In ossequio al principio del divieto dell'esportazione di prestazioni, la giurisprudenza ha precisato che la succitata norma subordina il diritto all'indennità di disoccupazione alla residenza effettiva in Svizzera, così BGE 125 V 465 S. 467 come all'intenzione di conservarla durante un certo periodo e di farne, durante questo tempo, il centro delle proprie relazioni personali ( DTF 115 V 448 ). Questi requisiti non collimano con quelli del domicilio civile secondo l' art. 23 CC ( DTF 115 V 449 consid. 1b con riferimenti; cfr. anche DTF 119 V 108 consid. 6c e riferimenti). La nozione di domicilio della legislazione sugli stranieri non coincide con quella del diritto civile ( DTF 113 V 264 consid. 2b; RCC 1990 pag. 261 consid. 3a e 1982 pag. 171 consid. 2a con riferimenti), né tanto meno con quella della residenza secondo l'art. 8 cpv. 1 lett. c LADI. b) (...).</w:t>
      </w:r>
    </w:p>
    <w:p>
      <w:r>
        <w:rPr>
          <w:b/>
        </w:rPr>
        <w:t>E. 3</w:t>
      </w:r>
    </w:p>
    <w:p>
      <w:r>
        <w:t>Nella fattispecie il ricorrente sostiene che la summenzionata giurisprudenza violerebbe l'art. 20 lett. a della Convenzione n. 168 dell'Organizzazione internazionale del lavoro (OIL) concernente la promozione dell'impiego e la protezione contro la disoccupazione del 21 giugno 1988 (RS 0.822.726.8; RU 1991 1914; in vigore per la Svizzera dal 17 ottobre 1991, in seguito: Convenzione n. 168). Egli rileva segnatamente che tale giurisprudenza non sarebbe conforme al diritto internazionale poiché subordina il diritto all'indennità di disoccupazione, oltre che alla residenza effettiva in Svizzera, anche all'intenzione di conservarla durante un certo periodo e di farne - durante questo tempo - il centro delle proprie relazioni personali, quando la Convenzione in oggetto richiederebbe invece dall'interessato solo di trovarsi sul territorio svizzero. (...).</w:t>
      </w:r>
    </w:p>
    <w:p>
      <w:r>
        <w:rPr>
          <w:b/>
        </w:rPr>
        <w:t>E. 4</w:t>
      </w:r>
    </w:p>
    <w:p>
      <w:r>
        <w:t>a) L'art. 20 della Convenzione n. 168 nella versione francese, che giusta l'art. 39 fa stato con quella inglese, cita: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aussi longtemps que l'intéressé ne se trouve pas sur le territoire du Membre (a);" b) Per costante giurisprudenza l'interpretazione di un accordo internazionale deve procedere anzitutto dal testo convenzionale. Se il testo è chiaro e il significato - come risulta dal generale uso della lingua, dall'oggetto e dallo scopo della disposizione - non appare privo di senso, non è data interpretazione estensiva o limitativa, a meno che dal contesto o dai lavori preparatori si possa con sicurezza dedurre che il testo non BGE 125 V 465 S. 468 corrisponde alla volontà delle parti contraenti ( DTF 121 V 43 consid. 2c, DTF 119 V 107 consid. 6a, DTF 117 V 269 consid. 3b e sentenze ivi citate). In questo ambito - conformemente a una giurisprudenza solo recentemente modificata - le nozioni, applicabili in una convenzione di sicurezza sociale e determinanti per il diritto a prestazioni di un istituto di assicurazione svizzero, dovevano essere interpretate sempre giusta la concezione svizzera, ossia secondo il diritto nazionale ( DTF 112 V 149 consid. 2a con rinvii). Con l'entrata in vigore - per la Svizzera il 6 giugno 1990 - della Convenzione di Vienna sul diritto dei trattati del 23 maggio 1969 (RS 0.111; RU 1990 1112), il Tribunale federale delle assicurazioni ha precisato l'accennata giurisprudenza ( DTF 117 V 268 ), nel senso che ha considerato essere necessario, a norma dei principi generali sull'interpretazione degli accordi internazionali stabiliti negli art. 31 a 33 , cercare in primo luogo il significato autonomo di una disposizione convenzionale. Solo se una convenzione - interpretata regolarmente alla luce di suddette regole - non disciplina né esplicitamente né tacitamente una precisa questione, è ammissibile per la sua interpretazione consultare sussidiariamente le nozioni applicabili nel diritto nazionale ( DTF 124 V 228 seg. consid. 3a; cfr. anche DTF 121 V 43 consid. 2c e DTF 119 V 107 consid. 6a con rinvii).</w:t>
      </w:r>
    </w:p>
    <w:p>
      <w:r>
        <w:rPr>
          <w:b/>
        </w:rPr>
        <w:t>E. 5</w:t>
      </w:r>
    </w:p>
    <w:p>
      <w:r>
        <w:t>Si pone quindi il tema di sapere se e in quale misura al caso la giurisprudenza sviluppata intorno all'art. 8 cpv. 1 lett. c LADI violi l'art. 20 lett. a della Convenzione n. 168, in quanto esso disposto sottopone il diritto all'erogazione di prestazioni alla condizione che l'interessato si trovi sul territorio dello Stato erogante. Giova al riguardo ricordare che in una recente sentenza il Tribunale federale delle assicurazioni, esprimendosi sugli scopi prefissisi dalla Convenzione all'art. 2, ha evidenziato come la medesima volga a che gli Stati membri prendano misure appropriate per coordinare il loro sistema di protezione contro la disoccupazione e la loro politica d'occupazione: a tal fine devono provvedere in particolare a che le modalità d'indennizzo contribuiscano alla promozione del pieno impiego e non abbiano per effetto di scoraggiare i datori di lavoro dall'offrire, rispettivamente i lavoratori dal cercare, un'occupazione produttiva ( DTF 124 V 229 consid. 3b). Orbene non si vede come la suddetta giurisprudenza relativa all'art. 8 cpv. 1 lett. c LADI esigente una presenza qualificata nel nostro Paese possa BGE 125 V 465 S. 469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l'indennizzazione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Le considerazioni che precedono appaiono tanto più valide quando si ritenga come l'art. 20 della Convenzione, oltre al requisito di trovarsi nello Stato membro (lett. a), prevede una serie di situazioni nelle quali il diritto a prestazioni è subordinato alla condizione che il richiedente abbia fatto tutto quanto da lui esigibile per non essere disoccupato (lett. b - h).</w:t>
      </w:r>
    </w:p>
    <w:p>
      <w:r>
        <w:rPr>
          <w:b/>
        </w:rPr>
        <w:t>E. 6</w:t>
      </w:r>
    </w:p>
    <w:p>
      <w:r>
        <w:t>Nella fattispecie si pone la questione di sapere se C. fosse nel periodo determinante effettivamente residente nel nostro Paese, ossia presente sul mercato del lavoro svizzero.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BGE 125 V 465 S. 470 di statuire. Si rende pertanto necessario un complemento d'istruttoria.</w:t>
      </w:r>
    </w:p>
    <w:p>
      <w:r>
        <w:rPr>
          <w:b/>
        </w:rPr>
        <w:t>E. 7</w:t>
      </w:r>
    </w:p>
    <w:p>
      <w:r>
        <w:t>(Spese 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