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437</w:t>
      </w:r>
    </w:p>
    <w:p>
      <w:r>
        <w:t>Bundesgericht (BGE), 1999-12-20, DE</w:t>
      </w:r>
    </w:p>
    <w:p>
      <w:r>
        <w:rPr>
          <w:b/>
        </w:rPr>
        <w:t xml:space="preserve">Quelle: </w:t>
      </w:r>
      <w:r>
        <w:t>https://mcp.opencaselaw.ch/entscheid/bge_BGE_125_V_437</w:t>
      </w:r>
    </w:p>
    <w:p>
      <w:r>
        <w:t>FR: ATF 125 V 437</w:t>
      </w:r>
    </w:p>
    <w:p>
      <w:r>
        <w:t>IT: DTF 125 V 437</w:t>
      </w:r>
    </w:p>
    <w:p>
      <w:pPr>
        <w:pStyle w:val="Heading2"/>
      </w:pPr>
      <w:r>
        <w:t>Regeste</w:t>
      </w:r>
    </w:p>
    <w:p>
      <w:r>
        <w:t>Regeste Art. 25 Abs. 2 lit. a, Art. 35 Abs. 2, Art. 41 Abs. 4 KVG: Mit dem Abschluss einer HMO-Versicherung schränkt die versicherte Person auch ihre Wahlfreiheit in Bezug auf Chiropraktorinnen und Chiropraktoren ein.</w:t>
      </w:r>
    </w:p>
    <w:p>
      <w:r>
        <w:t>Regeste Art. 25 al. 2 let. a, art. 35 al. 2, art. 41 al. 4 LAMal: en concluant une assurance HMO, la personne assurée limite également sa liberté de choix en ce qui concerne les chiropraticiens.</w:t>
      </w:r>
    </w:p>
    <w:p>
      <w:r>
        <w:t>Regesto Art. 25 cpv. 2 lett. a, art. 35 cpv. 2, art. 41 cpv. 4 LAMal: concludendo un'assicurazione HMO la persona assicurata limita la sua libertà di scelta pure per quel che concerne i chiropratici.</w:t>
      </w:r>
    </w:p>
    <w:p>
      <w:pPr>
        <w:pStyle w:val="Heading2"/>
      </w:pPr>
      <w:r>
        <w:t>Erwägungen</w:t>
      </w:r>
    </w:p>
    <w:p>
      <w:r>
        <w:rPr>
          <w:b/>
        </w:rPr>
        <w:t>E. 3</w:t>
      </w:r>
    </w:p>
    <w:p>
      <w:r>
        <w:t>a) Art. 41 Abs. 1 KVG enthält das Recht der Versicherten auf freie Wahl des Leistungserbringers. Dieses Wahlrecht können die Versicherten laut Art. 41 Abs. 4 KVG im Einvernehmen mit dem Versicherer auf Leistungserbringer beschränken, die der Versicherer im Hinblick auf eine kostengünstigere Versorgung auswählt ( Art. 62 Abs. 1 und 3 KVG ). In einem solchen Fall muss der Versicherer lediglich die Kosten für Leistungen übernehmen, die von diesen Leistungserbringern ausgeführt oder veranlasst werden ( Art. 41 Abs. 4 Satz 2 KVG ). Mit Art. 41 Abs. 4 KVG besteht damit eine gesetzliche Grundlage, auf freiwilliger Basis Gesundheitskassen (Health Maintenance Organisations; HMO) einzuführen. Umstritten ist zwischen den Parteien, ob eine Einschränkung des Wahlrechts lediglich innerhalb der Gruppe des gleichen Leistungserbringers gilt oder sich auf alle Leistungserbringer erstreckt. In der bundesrätlichen Botschaft wird zur Möglichkeit der freiwilligen Einschränkung des Wahlrechtes ausgeführt, der Gesetzgeber verzichte darauf, dass sich im Normalfall jeder Versicherte, der Versicherungsleistungen beanspruchen wolle, zunächst an den für ihn zuständigen Allgemeinpraktiker zu wenden habe. Dieser würde ihn, soweit möglich, selber betreuen und bei Bedarf einem Spezialisten, einer geeigneten Institution oder einem paramedizinischen Berufsspezialisten zuweisen. Dies sei im Grunde nichts anderes als das System des früheren Haus- oder Familienarztes. Ein solches System des zuweisenden Allgemeinpraktikers, BGE 125 V 437 S. 439 wie es andere Länder kennen, müsse nicht unbedingt zwingend im Gesetz vorgeschrieben werden. Die Praxis könne es vielmehr dort, wo es gewünscht und frei gewählt werde, von sich aus schaffen, insbesondere auch im System der obligatorischen Krankenpflegeversicherung. Es sei hier insbesondere an die möglichen alternativen Versicherungsformen, wie z.B. die Gesundheitskassen, die sog. Health Maintenance Organisations (HMO) zu erinnern, die gerade auch unter diesem Gesichtspunkt von den Versicherten, den Versicherern und den Leistungserbringern als echte Alternative gewählt und zu nutzbringender Wirkung gebracht werden könnten (Botschaft des Bundesrates über die Revision der Krankenversicherung vom 6. November 1991, BBl 1992 I 164). Des Weitern wird in der Botschaft (a.a.O., S. 128) Folgendes ausgeführt: "Die Gesundheitskasse übernimmt eine längerfristige Verantwortung für die Versicherten. Das Angebot umfasst deshalb in der Regel nicht nur die Behandlung im Krankheitsfall, sondern auch Präventions- und Gesundheitsförderungsmassnahmen, z.B. die Beratung durch eine Gesundheitsschwester. Der Versicherte muss Gesundheitsleistungen - soweit vorhanden - bei den für die Gesundheitskasse tätigen Leistungserbringern nachfragen. Für Behandlungen, die die Gesundheitskasse nicht selbst durchführen kann, wird der Versicherte an externe Leistungserbringer verwiesen. Der Einschränkung der freien Wahl des Leistungserbringers steht eine reduzierte Prämie und die Möglichkeit des Wegfalls der obligatorischen Kostenbeteiligung gegenüber (...). Die Gesundheitskasse kann kostengünstiger arbeiten, weil sie einerseits Wert auf die Erhaltung der Gesundheit legt und anderseits Einfluss auf den gesamten Behandlungsprozess - besonders auch die Überweisung an Spezialisten oder ein Spital - nehmen kann. Schliesslich können auch im Rahmen der ansonst grundsätzlich unveränderten Pflegeversicherung denjenigen Versicherten Prämienermässigungen gewährt werden, die eine höhere Kostenbeteiligung wählen (z.B. die wählbare Jahresfranchise) oder während einer bestimmten Zeit keine Versicherungsleistungen in Anspruch nehmen (System mit Prämienbonus ...)." Sinn und Zweck solcher Gesundheitskassen liegt somit darin, dass die einer HMO angeschlossenen Versicherten sich bereit erklären, alle Behandlungen und Untersuchungen durch das bezeichnete HMO-Gesundheitszentrum durchführen oder sich von einem solchen an Dritte überweisen zu lassen. Ausgenommen sind Notfälle, bei welchen die Inanspruchnahme der HMO nicht möglich oder angemessen ist (EUGSTER, Krankenversicherung, in: Schweizerisches Bundesverwaltungsrecht [SBVR], Rz. 355; SCHNEIDER/RAETZO, Primes et qualité des soins: les organisations de maintien de la santé [ODMS] et la LAMal, in: BGE 125 V 437 S. 440 SZS 1999 S. 284). Diesem Konzept würde es widersprechen, wenn sich die Überweisung an andere Leistungserbringer durch einen HMO-Arzt auf die gleiche Kategorie von Leistungserbringern beschränken würde. Vielmehr ist mit dem HMO-System verbunden, dass der Versicherte, bevor er sich durch andere Leistungserbringer behandeln lässt, das HMO-Gesundheitszentrum aufsucht. Entgegen der in der Verwaltungsgerichtsbeschwerde vertretenen Auffassung gilt diese Pflicht zur Inanspruchnahme der HMO integral und erstreckt sich auf alle Leistungserbringer. Die gegenteilige Ansicht hätte zur Folge, dass das HMO-Modell lediglich bei den Ärzten, nicht hingegen bei den andern Leistungserbringern, wie beispielsweise bei den Spitälern ( Art. 35 Abs. 2 lit. h KVG ) zur Anwendung gelangen würde. Dies ist gerade nicht der Sinn der mit Art. 41 Abs. 4 KVG verfolgten gesetzgeberischen Absicht. Danach muss der Versicherte Gesundheitsleistungen bei den für die Gesundheitskasse tätigen Leistungserbringern nachfragen. Für Behandlungen, welche die Gesundheitskasse nicht selbst durchführen kann, wird der Versicherte an externe Leistungserbringer verwiesen. Die Gesundheitskasse soll Einfluss auf den gesamten Behandlungsprozess nehmen können, insbesondere auch auf die Überweisung an Spezialisten oder in ein Spital (Bundesrätliche Botschaft, a.a.O., S. 128). Es macht durchaus Sinn, dass die HMO-Ärzte auch im Falle einer Behandlung bei einem Chiropraktor oder einer Chiropraktorin vorgängig zu konsultieren sind. b) An diesem Ergebnis vermögen die Vorbringen der Beschwerdeführerin nichts zu ändern. Insbesondere zeitigt der ins KVG überführte Dualismus "Arzt" und "Chiropraktor" nicht ein anderes Ergebnis. Dass Chiropraktorinnen und Chiropraktoren mit den Ärztinnen und Ärzten sowohl bei den Leistungen ( Art. 25 Abs. 2 lit. a KVG ) als auch als Leistungserbringer ( Art. 35 Abs. 2 KVG ) grundsätzlich gleichgestellt sind, ändert nichts daran, dass die Versicherten mit dem Beitritt zur HMO-Versicherung aus freien Stücken die in der obligatorischen Krankenpflegeversicherung bestehende Wahlfreiheit unter den zugelassenen Leistungserbringern eingeschränkt und sich verpflichtet haben, sich zuerst an die HMO-Ärztin oder den HMO-Arzt zu wenden. Damit wird weder der Katalog der Pflichtleistungen nach Art. 25 Abs. 2 KVG verkleinert (vgl. auch Art. 41 Abs. 4 letzter Satz KVG) noch eine Behandlung durch eine Chiropraktorin oder einen Chiropraktor ausgeschlossen. Die HMO-Versicherung führt ihrem Sinn und Zweck entsprechend dazu, dass sich die Versicherten für BGE 125 V 437 S. 441 die chiropraktorische Behandlung an die vom Versicherer ausgewählten Chiropraktorinnen oder Chiropraktoren zu wenden haben und, falls keine bezeichnet worden sind, dass die Überweisung durch eine HMO-Ärztin oder einen HMO-Arzt zu erfolgen hat, auch wenn im letzteren Fall ein unter Umständen Kosten verursachender Umweg erforderlich ist. Weder die Entstehungsgeschichte, der Wortlaut oder der Zweck von Art. 41 Abs. 4 KVG noch die Gesetzessystematik lassen die Auffassung der Beschwerdeführerin als nahe liegend erscheinen. Sodann kann die Beschwerdeführerin daraus nichts zu ihren Gunsten ableiten, dass andere Versicherer eine unterschiedliche Lösung getroffen haben oder dass die Beschwerdegegnerin in ihrem Reglement nicht ausdrücklich darauf hingewiesen hat, dass eine Chiropraktorin oder ein Chiropraktor nicht direkt aufgesucht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