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396</w:t>
      </w:r>
    </w:p>
    <w:p>
      <w:r>
        <w:t>Bundesgericht (BGE), 1999-01-01, DE</w:t>
      </w:r>
    </w:p>
    <w:p>
      <w:r>
        <w:rPr>
          <w:b/>
        </w:rPr>
        <w:t xml:space="preserve">Quelle: </w:t>
      </w:r>
      <w:r>
        <w:t>https://mcp.opencaselaw.ch/entscheid/bge_BGE_125_V_396</w:t>
      </w:r>
    </w:p>
    <w:p>
      <w:r>
        <w:t>FR: ATF 125 V 396</w:t>
      </w:r>
    </w:p>
    <w:p>
      <w:r>
        <w:t>IT: DTF 125 V 396</w:t>
      </w:r>
    </w:p>
    <w:p>
      <w:pPr>
        <w:pStyle w:val="Heading2"/>
      </w:pPr>
      <w:r>
        <w:t>Regeste</w:t>
      </w:r>
    </w:p>
    <w:p>
      <w:r>
        <w:t>Regeste Art. 81 Abs. 1 SchKG; Art. 128 Abs. 1 AHVV: Vollstreckung öffentlichrechtlicher Geldforderungen; Verjährung/Verwirkung; Rechtsweg. Ob bezüglich einer formell rechtskräftig verfügten Witwenabfindung (alt Art. 24 AHVG) die Vollstreckungsverjährung oder -verwirkung eingetreten ist, kann sowohl im Rechtsöffnungsverfahren vom Rechtsöffnungsrichter als auch, als Frage des materiellen Rechts, von der Verwaltung mittels Verfügung und auf Beschwerde hin vom Sozialversicherungsrichter entschieden werden.</w:t>
      </w:r>
    </w:p>
    <w:p>
      <w:r>
        <w:t>Regeste Art. 81 al. 1 LP; art. 128 al. 1 RAVS: exécution de créances pécuniaires de droit public; prescription/péremption; voie de droit. Allocation unique de veuve (ancien art. 24 LAVS) ayant fait l'objet d'une décision entrée en force; le point de savoir si le droit de réclamer le paiement de cette prestation est prescrit ou périmé peut être tranché en procédure de mainlevée par le juge compétent ou, en tant que question de droit matériel, par l'administration au moyen d'une décision ou encore par le juge des assurances sociales saisi d'un recours.</w:t>
      </w:r>
    </w:p>
    <w:p>
      <w:r>
        <w:t>Regesto Art. 81 cpv. 1 LEF; art. 128 cpv. 1 OAVS: esecuzione di crediti di diritto pubblico; prescrizione/perenzione; rimedio di diritto. Indennità unica per vedove (vecchio art. 24 LAVS) oggetto di una decisione cresciuta in giudicato: il tema di sapere se il diritto di domandare l'esecuzione di simile credito sia prescritto o perento può essere deciso in sede di procedura di rigetto dell'opposizione dal giudice competente in materia esecutiva o anche, quale quesito di diritto materiale, dall'amministrazione mediante decisione oppure dal giudice delle assicurazioni adito con ricorso.</w:t>
      </w:r>
    </w:p>
    <w:p>
      <w:pPr>
        <w:pStyle w:val="Heading2"/>
      </w:pPr>
      <w:r>
        <w:t>Erwägungen</w:t>
      </w:r>
    </w:p>
    <w:p>
      <w:r>
        <w:rPr>
          <w:b/>
        </w:rPr>
        <w:t>E. 1</w:t>
      </w:r>
    </w:p>
    <w:p>
      <w:r>
        <w:t>Die Verwaltungsgerichtsbeschwerde richtet sich gegen den Nichteintretensentscheid des kantonalen Gerichts. Streitig ist demnach einzig, ob dieses zu Recht auf die Beschwerde vom 17. März 1998 nicht eingetreten ist. Die Vorinstanz hat erwogen, auf die Beschwerde könne nicht eingetreten werden, soweit und sofern mit dieser beantragt werde, die Ausgleichskasse sei zu verpflichten, über den Anspruch auf Witwenabfindung zu verfügen. Da die Ausgleichskasse bereits am 11. März 1987 mit in formelle Rechtskraft erwachsener Verfügung der Beschwerdeführerin eine Witwenabfindung zugesprochen hat, verneinte das kantonale Gericht insoweit zu Recht ein Rechtsschutzinteresse der Beschwerdeführerin. Anzumerken ist, dass die Ausgleichskasse ihrerseits nicht befugt wäre, auf ein allfälliges Gesuch der Beschwerdeführerin, erneut über den Anspruch auf Witwenabfindung zu verfügen, einzutreten; nach der Rechtsprechung ist die Verwaltung nicht berechtigt, nach rechtskräftiger Erledigung eines Versicherungsfalles durch voraussetzungslosen Erlass einer zweiten Verfügung betreffend das gleiche Rechtsverhältnis bei gleicher Sachlage dem Versicherten erneut den Rechtsmittelweg zu öffnen ( BGE 116 V 63 Erw. 3a). Zu entscheiden ist somit, ob das kantonale Gericht auch insofern zu Recht auf Nichteintreten erkannt hat, als die Beschwerdeführerin darum ersuchte, die Ausgleichskasse zur Auszahlung der ihr am 11. März 1987 zugesprochenen Witwenabfindung zu verpflichten.</w:t>
      </w:r>
    </w:p>
    <w:p>
      <w:r>
        <w:rPr>
          <w:b/>
        </w:rPr>
        <w:t>E. 2</w:t>
      </w:r>
    </w:p>
    <w:p>
      <w:r>
        <w:t>a) Öffentlichrechtliche Geldforderungen sind auf dem Wege der Schuldbetreibung nach dem Bundesgesetz über Schuldbetreibung und Konkurs (SchKG; SR 281.1) einzutreiben ( BGE 115 III 2 Erw. 3, BGE 103 II 236 Erw. 4; AMONN/GASSER, Grundriss des Schuldbetreibungs- und Konkursrechts, 6. Aufl., Bern 1997, S. 55 Rz. 4; HÄFELIN/MÜLLER, Grundriss des Allgemeinen Verwaltungsrechts, 3. Aufl., Zürich 1998, S. 238 Rz. 925 f.; IMBODEN/RHINOW/KRÄHENMANN, Verwaltungsrechtsprechung, Bd. I, 6. Aufl., BGE 125 V 396 S. 399 Basel/Frankfurt a.M. 1986, S. 300 ff., und Ergänzungsband, Basel/Frankfurt a.M. 1990, S. 159 f.). Formell rechtskräftige Verwaltungsverfügungen stellen ebenso wie vollstreckbare gerichtliche Urteile Rechtsöffnungstitel dar, gestützt auf welche der Gläubiger die definitive Rechtsöffnung verlangen kann ( Art. 80 Abs. 1 und 2 Ziff. 2 SchKG ; IMBODEN/RHINOW/KRÄHENMANN, a.a.O., Ergänzungsband, S. 160). Allerdings steht dem Schuldner im Rechtsöffnungsverfahren auch gegenüber einem definitiven Rechtsöffnungstitel u.a. die Einrede der Verjährung zu, über die der Rechtsöffnungsrichter zu entscheiden hat ( Art. 81 Abs. 1 SchKG ; AMONN/GASSER, a.a.O., S. 122 ff., insbesondere Rz. 30 f., 52 und 62 f.). b) Aus dem Dargelegten ergibt sich, dass die Beschwerdeführerin die Möglichkeit gehabt hätte, die Witwenabfindung auf dem Betreibungsweg einzufordern. Die Ausgleichskasse hätte diesfalls im Rechtsöffnungsverfahren die Einrede der Vollstreckungsverwirkung erheben können, worüber der Rechtsöffnungsrichter zu entscheiden gehabt hätte.</w:t>
      </w:r>
    </w:p>
    <w:p>
      <w:r>
        <w:rPr>
          <w:b/>
        </w:rPr>
        <w:t>E. 3</w:t>
      </w:r>
    </w:p>
    <w:p>
      <w:r>
        <w:t>a) Zu beurteilen bleibt, ob über den Standpunkt der Ausgleichskasse, das Begehren der Beschwerdeführerin auf Auszahlung der Witwenabfindung sei zufolge Eintritts der Vollstreckungsverwirkung abzuweisen, nur im Betreibungsverfahren entschieden werden kann. Auszugehen ist davon, dass die Frage, ob ein Anspruch verjährt oder verwirkt ist, eine solche des materiellen Rechts ist ( BGE 118 II 450 Erw. 1b/bb; AMONN/GASSER, a.a.O., S. 125 f. Rz. 52 ff., insbesondere 54). Dies gilt für die Anspruchs- oder Festsetzungsverjährung oder -verwirkung ebenso wie für die Vollstreckungsverjährung oder -verwirkung; denn es stellt sich in beiden Fällen die Frage, ob ein als solcher nicht bestrittener Rechtsanspruch zufolge Zeitablaufs nicht mehr gerichtlich durchgesetzt werden kann oder erloschen ist. Zu beachten ist im Weitern, dass das Institut der Verjährung oder Verwirkung einen allgemeinen Rechtsgrundsatz des schweizerischen Verwaltungsrechts darstellt: Öffentlichrechtliche Ansprüche unterliegen selbst beim Fehlen einer ausdrücklichen Gesetzesbestimmung der Verjährung oder Verwirkung (ATTILIO R. GADOLA, Verjährung und Verwirkung im öffentlichen Recht, in: AJP 1995 S. 47 ff., insbesondere S. 48; IMBODEN/RHINOW/KRÄHENMANN, a.a.O., Bd. I, S. 200 f.; HÄFELIN/MÜLLER, a.a.O., S. 162 Rz. 628). b) Ob die Ausgleichskasse den Einwand der Vollstreckungsverwirkung gestützt auf den erwähnten allgemeinen Rechtsgrundsatz oder auf eine ausdrückliche BGE 125 V 396 S. 400 Gesetzesbestimmung erhebt, kann hier offen bleiben. Fest steht jedenfalls, dass sie mit der Verfügung vom 9. März 1998 über eine materiellrechtliche Frage entschieden hat. Hiezu war sie befugt, nachdem die Beschwerdeführerin die Auszahlung der ihr gestützt auf das AHVG am 11. März 1987 zugesprochenen Witwenabfindung verlangt hatte (vgl. Art. 128 Abs. 1 AHVV ). Demzufolge hätte das kantonale Gericht seinerseits auf die Beschwerde vom 17. März 1998 eintreten und die Frage entscheiden müssen, ob die Ausgleichskasse zu Recht die Auszahlung der Witwenabfindung mit der Begründung abgelehnt hat, der Anspruch sei verwirkt. Die Sache ist daher an die Vorinstanz zurückzuweisen, welche vorab insbesondere entscheiden wird, ob eine fünf- oder eine zehnjährige Frist zur Debatte steht. Ob es sich dabei - gemäss Verfügung vom 9. März 1998 - um eine Verwirkungs- oder - gemäss obiter dictum im Entscheid vom 25. August 1998 - um eine Verjährungsfrist handelt, muss das kantonale Gericht auch im Falle der Bejahung des Fristablaufs nicht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