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351</w:t>
      </w:r>
    </w:p>
    <w:p>
      <w:r>
        <w:t>Bundesgericht (BGE), 1999-01-01, DE</w:t>
      </w:r>
    </w:p>
    <w:p>
      <w:r>
        <w:rPr>
          <w:b/>
        </w:rPr>
        <w:t xml:space="preserve">Quelle: </w:t>
      </w:r>
      <w:r>
        <w:t>https://mcp.opencaselaw.ch/entscheid/bge_BGE_125_V_351</w:t>
      </w:r>
    </w:p>
    <w:p>
      <w:r>
        <w:t>FR: ATF 125 V 351</w:t>
      </w:r>
    </w:p>
    <w:p>
      <w:r>
        <w:t>IT: DTF 125 V 351</w:t>
      </w:r>
    </w:p>
    <w:p>
      <w:pPr>
        <w:pStyle w:val="Heading2"/>
      </w:pPr>
      <w:r>
        <w:t>Regeste</w:t>
      </w:r>
    </w:p>
    <w:p>
      <w:r>
        <w:t>Regeste Art. 4 BV; Art. 108 Abs. 1 lit. b UVG; Art. 40 BZP in Verbindung mit Art. 19 VwVG; Art. 95 Abs. 2 in Verbindung mit Art. 113 und 132 OG: Beweiswürdigung, Parteigutachten. Ein Parteigutachten besitzt nicht den gleichen Rang wie ein vom Gericht oder von einem Unfallversicherer nach dem vorgegebenen Verfahrensrecht eingeholtes Gutachten. Es verpflichtet indessen den Richter, den von der Rechtsprechung aufgestellten Richtlinien für die Beweiswürdigung folgend, zu prüfen, ob es in rechtserheblichen Fragen die Auffassung und Schlussfolgerungen des vom Gericht oder vom Unfallversicherer förmlich bestellten Gutachters derart zu erschüttern vermag, dass davon abzuweichen ist.</w:t>
      </w:r>
    </w:p>
    <w:p>
      <w:r>
        <w:t>Regeste Art. 4 Cst.; art. 108 al. 1 let. b LAA; art. 40 PCF en liaison avec l'art. 19 PA; art. 95 al. 2 en liaison avec les art. 113 et 132 OJ: appréciation des preuves, expertise présentée par une partie. Une expertise présentée par une partie n'a pas la même valeur que des expertises mises en oeuvre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w:t>
      </w:r>
    </w:p>
    <w:p>
      <w:r>
        <w:t>Regesto Art. 4 Cost.; art. 108 cpv. 1 lett. b LAINF; art. 40 PC in relazione con l'art. 19 PA; art. 95 cpv. 2 in relazione con gli art. 113 e 132 OG: valutazione delle prove, perizia di parte. Una perizia di parte non ha lo stesso rango di una perizia fatta allestire da un tribunale o da un assicuratore contro gli infortuni conformemente alle regole di procedura applicabili. Giusta i principi giurisprudenziali in materia di valutazione delle prove, al giudice spetta tuttavia esaminare se la medesima sia suscettibile di mettere in forse, su punti litigiosi importanti, l'opinione e le conclusioni del perito incaricato dal tribunale o dall'assicuratore contro gli infortuni.</w:t>
      </w:r>
    </w:p>
    <w:p>
      <w:pPr>
        <w:pStyle w:val="Heading2"/>
      </w:pPr>
      <w:r>
        <w:t>Erwägungen</w:t>
      </w:r>
    </w:p>
    <w:p>
      <w:r>
        <w:rPr>
          <w:b/>
        </w:rPr>
        <w:t>E. 2</w:t>
      </w:r>
    </w:p>
    <w:p>
      <w:r>
        <w:t>Es stellt sich die Frage, ob die Beschwerdeführerin nach dem 31. Juli 1995 noch an Versicherungsleistungen auslösenden somatischen Beschwerden leidet, die auf den Unfall vom 22. Februar 1992 zurückzuführen sind. Die Vorinstanz verneinte diese Frage in Bestätigung des Einspracheentscheids im Wesentlichen mit der Begründung, das Gutachten des Dr. med. K. vom 28. Juni 1995 sei wie ein Gerichtsgutachten zu behandeln, weshalb grundsätzlich darauf abzustellen und nicht ohne zwingende Gründe davon abzuweichen sei. Die BGE 125 V 351 S. 352 Beschwerdeführerin macht demgegenüber unter Berufung auf die von ihr eingeholten und im vorinstanzlichen Verfahren aufgelegten Gutachten der Dres. med. H. und M. vom 28. März 1996 bzw. 17. Mai 1996 geltend, das erwähnte Gutachten, welches das kantonale Gericht unbesehen übernehme, weise massive Widersprüche und Mängel auf, die aktenkundig belegt seien, sodass seine Unzuverlässigkeit augenfällig sei.</w:t>
      </w:r>
    </w:p>
    <w:p>
      <w:r>
        <w:rPr>
          <w:b/>
        </w:rPr>
        <w:t>E. 3</w:t>
      </w:r>
    </w:p>
    <w:p>
      <w:r>
        <w:t>a)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122 V 160 f. Erw. 1c mit Hinweisen). b) Dennoch hat es die Rechtsprechung mit dem Grundsatz der freien Beweiswürdigung als vereinbar erachtet, in Bezug auf bestimmte Formen medizinischer Berichte und Gutachten Richtlinien für die Beweiswürdigung aufzustellen. aa) So weicht der Richter bei Gerichtsgutachten nach der Praxis nicht ohne zwingende Gründe von der Einschätzung des medizinischen Experten ab, dessen Aufgabe es ist, seine Fachkenntnisse der Gerichtsbarkeit zur Verfügung zu BGE 125 V 351 S. 353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118 V 290 Erw. 1b, BGE 112 V 32 f. mit Hinweisen). bb) Den im Rahmen des Verwaltungsverfahrens durch die Schweizerische Unfallversicherungsanstalt (SUVA) und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104 V 212 Erw. c; RKUV 1993 Nr. U 167 S. 96 Erw. 5a mit weiteren Hinweisen). Zu beachten ist, dass die SUVA bei der Einholung von solchen Gutachten sinngemäss nach den Bestimmungen des Bundeszivilprozesses zu verfahren und insbesondere die in Art. 57 ff. BZP genannten Mitwirkungsrechte der Verfahrensbeteiligten zu beachten hat (RKUV 1993 Nr. U 167 S. 96 Erw. 5b), was sinngemäss auch für die nach Art. 68 Abs. 1 UVG zugelassenen Privatversicherer gilt ( BGE 120 V 361 f. Erw. 1c). cc) In Bezug auf Berichte von Hausärzten darf und soll der Richter der Erfahrungstatsache Rechnung tragen, dass Hausärzte mitunter im Hinblick auf ihre auftragsrechtliche Vertrauensstellung in Zweifelsfällen eher zu Gunsten ihrer Patienten aussagen (unveröffentlichte Urteile B. vom 11. Juni 1997, B. vom 22. Februar 1994 und P. vom 22. Oktober 1984; Plädoyer 6/94 S. 67; MEYER-BLASER, Die Rechtspflege in der Sozialversicherung, in: BJM 1989 S. 31). dd) Was Parteigutachten anbelangt, rechtfertigt der Umstand allein, dass eine ärztliche Stellungnahme von einer Partei eingeholt und in das Verfahren eingebracht wird, nicht Zweifel an ihrem Beweiswert (ZAK 1986 S. 189 Erw. 2a in fine). ee) Auch den Berichten und Gutachten versicherungsinterner Ärzte kommt schliesslich Beweiswert zu, sofern sie als schlüssig erscheinen, BGE 125 V 351 S. 354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122 V 161 f. Erw. 1c). c) Wie bereits erwähnt (Erw. 3b/dd),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