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317</w:t>
      </w:r>
    </w:p>
    <w:p>
      <w:r>
        <w:t>Bundesgericht (BGE), 1999-01-01, DE</w:t>
      </w:r>
    </w:p>
    <w:p>
      <w:r>
        <w:rPr>
          <w:b/>
        </w:rPr>
        <w:t xml:space="preserve">Quelle: </w:t>
      </w:r>
      <w:r>
        <w:t>https://mcp.opencaselaw.ch/entscheid/bge_BGE_125_V_317</w:t>
      </w:r>
    </w:p>
    <w:p>
      <w:r>
        <w:t>FR: ATF 125 V 317</w:t>
      </w:r>
    </w:p>
    <w:p>
      <w:r>
        <w:t>IT: DTF 125 V 317</w:t>
      </w:r>
    </w:p>
    <w:p>
      <w:pPr>
        <w:pStyle w:val="Heading2"/>
      </w:pPr>
      <w:r>
        <w:t>Regeste</w:t>
      </w:r>
    </w:p>
    <w:p>
      <w:r>
        <w:t>Regeste Art. 50 Abs. 3 UVG; Art. 213 Abs. 2 SchKG: Verrechnung von Forderungen auf Grund des UVG mit fälligen Leistungen. Die Verrechenbarkeit von ausstehenden Prämienforderungen des Unfallversicherers gegenüber dem ehemaligen Inhaber einer Einzelfirma mit dessen nach Konkurseröffnung entstandenem Anspruch auf Taggeldleistungen ist im Hinblick auf das Erfordernis der Gegenseitigkeit zwar zu bejahen; die Verrechnung ist jedoch unzulässig, weil im Bereich von Art. 50 Abs. 3 UVG das in Art. 213 Abs. 2 Ziff. 2 SchKG statuierte Verrechnungsverbot zur Anwendung gelangt.</w:t>
      </w:r>
    </w:p>
    <w:p>
      <w:r>
        <w:t>Regeste Art. 50 al. 3 LAA; art. 213 al. 2 LP: compensation de créances fondées sur la LAA avec des prestations exigibles. La compensation de créances de l'assureur-accidents relatives à des primes encore dues par l'ancien titulaire d'une raison de commerce individuelle avec la créance en paiement d'indemnités journalières obtenue par l'intéressé après l'ouverture de la faillite satisfait à l'exigence de réciprocité; elle n'est toutefois pas admissible, parce que l'interdiction de compenser prévue à l'art. 213 al. 2 ch. 2 LP est applicable dans les éventualités visées à l'art. 50 al. 3 LAA.</w:t>
      </w:r>
    </w:p>
    <w:p>
      <w:r>
        <w:t>Regesto Art. 50 cpv. 3 LAINF; art. 213 cpv. 2 LEF: compensazione di crediti fondati sulla LAINF con prestazioni scadute. La possibilità di compensare crediti dell'assicuratore infortuni relativi a premi arretrati dovuti dall'ex titolare di una ditta individuale con diritti del medesimo a indennità giornaliere insorti dopo la dichiarazione di fallimento soddisfa l'esigenza di reciprocità; la compensazione non è comunque ammissibile poiché l'esclusione della compensazione di cui all'art. 213 cpv. 2 n. 2 LEF è richiamabile nelle evenienze contemplate dall'art. 50 cpv. 3 LAINF.</w:t>
      </w:r>
    </w:p>
    <w:p>
      <w:pPr>
        <w:pStyle w:val="Heading2"/>
      </w:pPr>
      <w:r>
        <w:t>Erwägungen</w:t>
      </w:r>
    </w:p>
    <w:p>
      <w:r>
        <w:rPr>
          <w:b/>
        </w:rPr>
        <w:t>E. 1</w:t>
      </w:r>
    </w:p>
    <w:p>
      <w:r>
        <w:t>Gegenstand des vorliegenden Verfahrens bildet die Frage, ob die SUVA zulässigerweise ausstehende betragsmässig unbestrittene Versicherungsleistungen mit einer ebenfalls anerkannten Prämienforderung gegenüber dem Beschwerdeführer, welche bereits vor der Konkurseröffnung bestand und die sie kollozieren liess, verrechnet hat.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betreffend Kognition bei Streitigkeiten aus Verrechnungsansprüchen vgl. BGE 115 V 342 Erw. 1 mit Hinweisen).</w:t>
      </w:r>
    </w:p>
    <w:p>
      <w:r>
        <w:rPr>
          <w:b/>
        </w:rPr>
        <w:t>E. 2</w:t>
      </w:r>
    </w:p>
    <w:p>
      <w:r>
        <w:t>Das kantonale Gericht hat die vorliegend massgeblichen Bestimmungen zur Verrechenbarkeit sich gegenüberstehender Forderungen im Allgemeinen ( Art. 120 ff. OR ) und im Sozialversicherungsrecht, insbesondere im Alters- und Hinterlassenen- ( Art. 20 Abs. 2 AHVG ) sowie im Unfallversicherungsrecht BGE 125 V 317 S. 319 ( Art. 50 Abs. 3 UVG ; vgl. auch Art. 64 UVV ), zutreffend wiedergegeben. Darauf, wie auch auf die dargelegte hiezu ergangene Rechtsprechung ( BGE 115 V 342 Erw. 2, BGE 110 V 185 Erw. 2, BGE 104 V 5 ; vgl. auch RKUV 1997 Nr. U 268 S. 39 Erw. 3, 1992 Nr. U 150 S. 165 unten), kann verwiesen werden.</w:t>
      </w:r>
    </w:p>
    <w:p>
      <w:r>
        <w:rPr>
          <w:b/>
        </w:rPr>
        <w:t>E. 3</w:t>
      </w:r>
    </w:p>
    <w:p>
      <w:r>
        <w:t>a) Nach Art. 50 Abs. 3 UVG (in Verbindung mit Art. 64 UVV ) können - in Nachbildung zu Art. 20 Abs. 2 AHVG (vgl. MAURER, Schweizerisches Unfallversicherungsrecht, S. 449, Fn. 1175) - Forderungen auf Grund dieses Gesetzes unter bestimmten Voraussetzungen mit fälligen Leistungen verrechnet werden. b) Die Vorinstanz hat in Analogie zu dem in BGE 104 V 5 festgehaltenen Grundsatz, wonach das in Art. 20 Abs. 2 AHVG verankerte Verrechnungsrecht dem konkursrechtlichen Verrechnungsverbot nach Art. 213 Abs. 2 Ziff. 2 SchKG vorgeht, erwogen, die dortigen Ausführungen hätten infolge ihres allgemein gültigen Charakters (Schutzbedürfnis der Sozialversicherungen, Fehlen einer Missbrauchsmöglichkeit oder einer Gläubigerübervorteilung) im Hinblick auf eine einheitliche Regelung für das gesamte Sozialversicherungsrecht zu gelten. Die Frage, ob in Berücksichtigung des auf den 1. Januar 1997 in Kraft getretenen revidierten SchKG - insbesondere der neu festgelegten Rangordnung der Gläubiger gemäss Art. 219 SchKG - allenfalls eine Änderung dieser Rechtsprechung vorzunehmen wäre, liess es offen, da die Konkurseröffnung am 5. November 1996 stattgefunden habe, weshalb nach Art. 2 Abs. 3 der Schlussbestimmungen zum revidierten SchKG das bisherige Recht anzuwenden sei. c) In der Verwaltungsgerichtsbeschwerde wird hiegegen vorgebracht, es fehle an der "allgemein gültigen privatrechtlichen Voraussetzung zur Verrechnung und dabei namentlich ... der Identität des Verrechnenden und des Verrechnungsgegners", da sich die Prämienforderung der SUVA gegen die Konkursmasse der vormaligen Einzelfirma des Beschwerdeführers richte, die Gegenforderung auf Ausrichtung von Taggeldleistungen indes diesem selber zustehe.</w:t>
      </w:r>
    </w:p>
    <w:p>
      <w:r>
        <w:rPr>
          <w:b/>
        </w:rPr>
        <w:t>E. 4</w:t>
      </w:r>
    </w:p>
    <w:p>
      <w:r>
        <w:t>Zunächst zu prüfen ist die Frage, ob eine Verrechnung vorliegend ausgeschlossen ist, da sich - wie vom Beschwerdeführer geltend gemacht - nicht die gleichen Rechtsträger gegenüberstehen. a) Eine Verrechnung setzt voraus, dass Leistung und Forderung des Versicherers grundsätzlich die gleiche Person betreffen (MAURER, a.a.O., S. 448; HÄFELIN/MÜLLER, Grundriss des Allgemeinen Verwaltungsrechts, 3. Aufl., S. 165 f., Rz. 644; vgl. auch Art. 120 Abs. 1 OR ). Eine zeitliche Kongruenz BGE 125 V 317 S. 320 der gegenseitigen Forderungen in dem Sinne, dass diese den gleichen Zeitraum beschlagen müssen, ist dabei nicht verlangt. Wesentlich für die Zulässigkeit der Verrechnung ist somit nicht, dass Forderung und Gegenforderung im gleichen Zeitpunkt entstanden sind, sondern dass beide im Zeitpunkt der Verrechnung fällig sind (vgl. dazu BGE 115 V 341 mit Hinweisen; nicht veröffentlichtes Urteil H. vom 22. Juni 1998. b) Als Inhaber einer Einzelfirma schuldete der Beschwerdeführer der SUVA in seiner Funktion als Arbeitgeber im Bereich der obligatorischen Unfallversicherung den gesamten Prämienbetrag ( Art. 91 Abs. 3 UVG ). Da die Prämienforderung für die Jahre 1995 und 1996 spätestens mit der Konkurseröffnung vom 5. November 1996 fällig wurde ( Art. 208 Abs. 1 SchKG ), wäre die Verrechnung mit dem durch die Unfallereignisse vom 16. Dezember 1997 und 17. März 1998 entstandenen Anspruch des Beschwerdeführers auf Taggeldleistungen grundsätzlich zulässig (vgl. BGE 100 V 134 Erw. 3; MAURER, a.a.O., S. 448). Fraglich ist indes, ob der Umstand des Konkurses und des damit verbundenen Wechsels der Rechtszuständigkeit (Konkursmasse/Gemeinschuldner; Art. 204 SchKG ) einer Verrechnung entgegensteht. In BGE 104 V 7 Erw. 2b hat das Eidg. Versicherungsgericht die Verrechenbarkeit von ausstehenden Sozialversicherungsbeiträgen, welche im Rahmen eines Nachlassvertrages mit Vermögensabtretung zwischen dem ehemaligen Inhaber einer Einzelfirma und dessen Gläubigern angemeldet worden waren, mit dem Anspruch des Versicherten auf eine Invalidenrente bejaht. Das Erfordernis der Gegenseitigkeit der Forderungen wurde mithin auch bei Erlöschen des Verfügungsrechts des Schuldners über das von ihm abgetretene, verselbstständigte Vermögen und dessen Übergang auf die Nachlassgläubiger ( BGE 103 III 60 ; AMONN/GASSER, Grundriss des Schuldbetreibungs- und Konkursrechts, 6. Aufl., 1997, S. 468 f., Rz. 23) als gegeben erachtet. Ein Grund, weshalb im Falle eines Konkursverfahrens, bei dem der Gemeinschuldner im Zeitpunkt der Konkurseröffnung ebenfalls weitgehend die Fähigkeit verliert, über sein Vermögen zu disponieren ( Art. 204 SchKG ; vgl. auch AMONN/GASSER, a.a.O., S. 327 f., Rz. 6 ff.), anders zu verfahren wäre, ist nicht auszumachen und wird auch vom Beschwerdeführer nicht substanziiert vorgebracht.</w:t>
      </w:r>
    </w:p>
    <w:p>
      <w:r>
        <w:rPr>
          <w:b/>
        </w:rPr>
        <w:t>E. 5</w:t>
      </w:r>
    </w:p>
    <w:p>
      <w:r>
        <w:t>Im Weiteren ist zu beurteilen, ob das gemäss Rechtsprechung ( BGE 104 V 5 ) im Bereich des Art. 20 Abs. 2 AHVG nicht geltende Verrechnungsverbot nach Art. 213 Abs. 2 Ziff. 2 SchKG , wonach die Verrechnung ausgeschlossen ist, wenn ein Gläubiger des Gemeinschuldners erst nach der Konkurseröffnung BGE 125 V 317 S. 321 Schuldner desselben oder der Konkursmasse wird, vorliegend ebenfalls keine Anwendung findet. a) In BGE 104 V 5 wird die Nichtgeltung von Art. 213 Abs. 2 Ziff. 2 SchKG im Anwendungsbereich des Art. 20 Abs. 2 AHVG damit begründet, dass durch diese Norm "eine eigene Ordnung geschaffen" werde, "welche auf die Besonderheiten der Sozialgesetzgebung im AHV-Bereich zugeschnitten ist" (vgl. auch BGE 115 V 342 Erw. 2b). Diese Eigenständigkeit ergebe sich beispielsweise aus Art. 16 Abs. 2 AHVG , wonach eine Beitragsforderung drei Jahre (in der bis 31. Dezember 1996 gültig gewesenen Fassung) nach Ablauf des Kalenderjahres verwirkt, in welchem sie geltend gemacht wurde; fällt der Ablauf der Frist in ein hängiges Schuldbetreibungs- oder Konkursverfahren, endet die Frist mit dessen Abschluss; Art. 149 Abs. 5 SchKG (in der bis 31. Dezember 1996 gültig gewesenen Fassung), der die durch den Verlustschein verurkundete Forderung gegenüber dem Schuldner allgemein als unverjährbar erklärt, findet von Gesetzes wegen auf Beitragsforderungen keine Anwendung ( BGE 104 V 7 f. Erw. 3b). Bei Entstehung des Rentenanspruches nicht erloschene Beitragsforderungen können in jedem Fall gemäss Art. 20 Abs. 2 AHVG noch verrechnet werden (Art. 16 Abs. 2 letzter Satz AHVG). Das Eidg. Versicherungsgericht hat in BGE 104 V 5 ferner befunden, dass die Berücksichtigung des Verrechnungsverbotes nach Art. 213 Abs. 2 Ziff. 2 SchKG , welches verhindern will, dass auf dem Wege des Verrechnungsrechts Missbrauch unter anderem in Form der Gläubigerübervorteilung getrieben wird, im AHV-Bereich vielmehr die Schädigung eines Sozialwerkes zu bewirken imstande wäre, aus dem der Schuldner selber Vorteile erlangt, da die Sozialversicherungsbeiträge rentenbildend sein können. Ohne Verrechnung würden zudem alle übrigen Gläubiger schlechter gestellt, da die Beitragsforderungen gemäss Art. 219 Abs. 4 SchKG (in der bis 31. Dezember 1996 gültig gewesenen Fassung) in der zweiten Klasse privilegiert sind und durch eine verrechnungsweise Verminderung dieser Forderung die gleich- oder nachgestellten Gläubiger eine Besserstellung erfahren. Im Übrigen würde ohne Verrechnungsmöglichkeit allein der Schuldner profitieren, weil die Sozialversicherungsleistungen unabtretbar, unverpfändbar und der Zwangsvollstreckung entzogen sind ( Art. 20 Abs. 1 AHVG ) ( BGE 104 V 8 Erw. 3c). b) Zu prüfen ist, ob die obgenannten Kriterien, welche zu einem Ausschluss des konkursrechtlichen Verrechnungsverbotes im AHV-Bereich führen, auch auf BGE 125 V 317 S. 322 dem Gebiete des UVG "im Sinne einer einheitlichen Regelung für das gesamte Sozialversicherungsrecht" (kantonaler Entscheid S. 4) gelten. aa) Mit Art. 50 Abs. 3 UVG hat der Gesetzgeber auch für den Bereich der Unfallversicherung eine ausdrückliche Regelung der Verrechnung vorgesehen. Fraglich ist nun, ob durch diese Norm eine eigene Ordnung geschaffen wird, welche auf die Besonderheiten der Sozialgesetzgebung im Unfallversicherungsrecht zugeschnitten ist, wie dies für Art. 20 Abs. 2 AHVG im AHV-Bereich zutrifft. Zu vermerken ist, dass das UVG keine Art. 16 Abs. 2 AHVG vergleichbare Norm enthält, aus welcher sich unter anderem die als entscheidend betrachtete Eigenständigkeit des Sozialversicherungsrechts in diesem Bereich ergibt. Art. 94 UVG statuiert einzig eine fünfjährige Verwirkungsfrist für Prämienforderungen. Was Art. 16 Abs. 2 AHVG anbelangt, so äusserte sich der Bundesrat in seiner Botschaft vom 5. Mai 1953 zum letzten Satz dieser Norm dahingehend, "dass bei Entstehung des Rentenanspruches nicht erloschene Beitragsforderungen in jedem Fall gemäss Art. 20 Abs. 3 AHVG (in der heute geltenden Fassung Abs. 2) noch verrechnet werden können. Beiträge, die der Rentenberechnung zugrunde gelegt werden, sollen ohne Einschränkung durch Verrechnung bezahlt werden" (BBl 1953 II 120). In BGE 117 V 212 Erw. 4b befand das Eidg. Versicherungsgericht, das auf Grund der Materialien feststellbare Motiv und damit der vom Gesetzgeber als sachlich bezeichnete Grund für die Verrechenbarkeit nicht erloschener Beitragsforderungen mit Rentenleistungen über die Dreijahresfrist hinaus lägen somit darin, dass rechtskräftig festgelegte, aber noch nicht bezahlte Beiträge rentenbildend sein könnten. In diesem Sinne bestehe zwischen Beiträgen und Renten ein enger versicherungsrechtlicher Konnex, welcher hinsichtlich der Verrechnung eine spezielle Regelung rechtfertige. Diese Darlegungen zeigen, dass die AHV-Gesetzgebung in verschiedenen Normen eine auf die spezifischen Bedürfnisse in diesem Bereich zugeschnittene Ordnung enthält, deren Umsetzung die Anwendung des allgemein geltenden Verrechnungsverbotes nach Art. 213 Abs. 2 Ziff. 2 SchKG ausschliesst. bb) Das UVG weist demgegenüber lediglich die Verrechnungsbestimmung des Art. 50 Abs. 3 UVG auf, kennt indes keine weiteren Normen, welche den Ausschluss des Art. 213 Abs. 2 Ziff. 2 SchKG indizieren würden. Insbesondere werden die Leistungen nicht wie in der AHV nach dem individuellen Beitragskonto entrichtet, womit das Argument des rentenbildenden Charakters entfällt. Ferner findet sich im UVG keine Bestimmung, welche die Anwendung BGE 125 V 317 S. 323 von Art. 149 Abs. 5 SchKG (in der bis 31. Dezember 1996 gültig gewesenen Fassung) ausschliessen würde, sodass die bei nur teilweiser Befriedigung des Gläubigers durch Verlustschein verurkundete Forderung grundsätzlich - nach altem Recht - unverjährbar ist. Die in Art. 94 UVG verankerte Verwirkungsfrist steht diesem Umstand nicht entgegen, sofern die Prämiennachforderung durch Schuldbetreibung fristgerecht geltend gemacht wurde (vgl. MAURER, a.a.O., S. 529). Das AHVG sieht demgegenüber die Beendigung der Frist bei Ablauf eines Schuldbetreibungs- und Konkursverfahrens vor ( Art. 16 Abs. 2 Satz 3 AHVG ), womit der Überlegung Rechnung getragen wird, dass "aus Gründen der Rechtssicherheit und aus verwaltungstechnischen Erwägungen nach Ablauf eines bestimmten Zeitraumes in einem bestimmten Schuldverhältnis zwischen AHV und Beitragspflichtigen Ruhe eintreten soll" (BBl 1953 II 119; vgl. auch BGE 117 V 211 Erw. 4b). Aus dem Umstand, dass der Gesetzgeber bei der Ausgestaltung des zeitlich später in Kraft getretenen Art. 94 UVG , welcher sich im Übrigen weitgehend an Art. 16 AHVG anlehnt (Botschaft zum UVG Ziff. 407.2; MAURER, a.a.O., S. 579, FN 1492), gerade den speziellen schuldbetreibungs- und konkursrechtlichen Ausnahmepassus dieser Norm nicht übernahm, erhellt die Absicht, in diesem Sozialversicherungszweig keine dem SchKG vorgehende Regelung zu schaffen. Gleiches indiziert die Tatsache, dass anlässlich der Revision des SchKG durch das Bundesgesetz vom 16. Dezember 1994 bei Art. 50 Abs. 1 UVG eine Angleichung und Koordination vorgenommen, im Bereich des Verrechnungsrechts nach Abs. 3 indes darauf verzichtet wurde. Ebenfalls zu berücksichtigen ist in diesem Zusammenhang der Bericht der Kommission des Nationalrates für Soziale Sicherheit und Gesundheit (SGK) vom 26. März 1999 betreffend das Bundesgesetz über einen Allgemeinen Teil des Sozialversicherungsrechts (BBl Nr. 23 vom 15. Juni 1999 S. 4523 ff.). In Art. 34 (S. 4581) hatte der Ständerat die grundsätzliche Möglichkeit des Versicherungsträgers vorgesehen, die von diesem geschuldeten Geldleistungen mit Ansprüchen, die dieser oder der Träger eines anderen Sozialversicherungszweiges aus dem Versicherungsverhältnis gegen den Versicherten hat, zu verrechnen. Die nationalrätliche SGK beantragt nun jedoch die Streichung dieser Bestimmung, da sich das Problem der Verrechnung einer Harmonisierung entziehe. Aus dem Gesagten wird deutlich, dass einer differenzierten Betrachtungsweise der Verrechnungsmöglichkeit je nach Sozialversicherungszweig gegenüber einer - im Bestreben nach einer BGE 125 V 317 S. 324 einheitlichen Regelung für den gesamten Sozialversicherungsbereich postulierten - pauschalen Übernahme der Lösung des AHVG in andere Gebiete der Sozialversicherung der Vorzug zu geben ist. c) Zusammenfassend ergibt sich, dass die Verrechnung der dem Beschwerdeführer monatlich zu leistenden Taggeldzahlungen mit der ausstehenden Prämienforderung durch die SUVA nicht zulässig ist, weil das in Art. 213 Abs. 2 Ziff. 2 SchKG statuierte Verrechnungsverbot auch im Anwendungsbereich des UVG berücksichtigt werden muss.</w:t>
      </w:r>
    </w:p>
    <w:p>
      <w:r>
        <w:rPr>
          <w:b/>
        </w:rPr>
        <w:t>E. 6</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