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201</w:t>
      </w:r>
    </w:p>
    <w:p>
      <w:r>
        <w:t>Bundesgericht (BGE), 1999-01-01, DE</w:t>
      </w:r>
    </w:p>
    <w:p>
      <w:r>
        <w:rPr>
          <w:b/>
        </w:rPr>
        <w:t xml:space="preserve">Quelle: </w:t>
      </w:r>
      <w:r>
        <w:t>https://mcp.opencaselaw.ch/entscheid/bge_BGE_125_V_201</w:t>
      </w:r>
    </w:p>
    <w:p>
      <w:r>
        <w:t>FR: ATF 125 V 201</w:t>
      </w:r>
    </w:p>
    <w:p>
      <w:r>
        <w:t>IT: DTF 125 V 201</w:t>
      </w:r>
    </w:p>
    <w:p>
      <w:pPr>
        <w:pStyle w:val="Heading2"/>
      </w:pPr>
      <w:r>
        <w:t>Regeste</w:t>
      </w:r>
    </w:p>
    <w:p>
      <w:r>
        <w:t>Regeste Art. 152, 159 und 160 OG: Parteientschädigung und Mehrwertsteuer. Bei Einreichung einer masslich begründeten Kostennote mit separat ausgewiesener Mehrwertsteuer wird die Parteientschädigung um diesen Mehrwertsteuerbetrag erhöht; wird hingegen eine Entschädigung pauschal zugesprochen, ist die Mehrwertsteuer in diesem Pauschalbetrag enthalten und nicht noch zusätzlich zu vergüten.</w:t>
      </w:r>
    </w:p>
    <w:p>
      <w:r>
        <w:t>Regeste Art. 152, 159 et 160 OJ: Indemnité de dépens et taxe sur la valeur ajoutée. Lorsqu'une partie produit une note d'honoraires détaillée dûment motivée, contenant un décompte séparé de la taxe sur la valeur ajoutée, l'indemnité de dépens à laquelle elle a droit est augmentée d'un montant correspondant à celui de cette taxe; en revanche, si le tribunal accorde un montant forfaitaire à titre de dépens, la taxe sur la valeur ajoutée est comprise dans ce montant et ne doit pas être allouée en sus.</w:t>
      </w:r>
    </w:p>
    <w:p>
      <w:r>
        <w:t>Regesto Art. 152, 159 e 160 OG: Ripetibili e imposta sul valore aggiunto. Qualora sia presentata una nota d'onorario dettagliata contemplante un conteggio separato dell'imposta sul valore aggiunto, le ripetibili sono maggiorate di un importo pari a tale imposta; laddove, viceversa, venga assegnata un'indennità di parte forfettaria, l'imposta sul valore aggiunto è compresa in detto ammontare forfettario e non deve essere oggetto di una rifusione distinta.</w:t>
      </w:r>
    </w:p>
    <w:p>
      <w:pPr>
        <w:pStyle w:val="Heading2"/>
      </w:pPr>
      <w:r>
        <w:t>Erwägungen</w:t>
      </w:r>
    </w:p>
    <w:p>
      <w:r>
        <w:rPr>
          <w:b/>
        </w:rPr>
        <w:t>E. 4</w:t>
      </w:r>
    </w:p>
    <w:p>
      <w:r>
        <w:t>a) Da es im vorliegenden Verfahren um die Bewilligung oder Verweigerung von Versicherungsleistungen geht, sind gemäss Art. 134 OG keine Gerichtskosten zu erheben. Die unentgeltliche Verbeiständung kann hingegen gewährt werden (Art. 152 in Verbindung mit Art. 135 OG ), da die Bedürftigkeit aktenkundig ist, die Beschwerde nicht als aussichtslos zu bezeichnen und die Vertretung geboten war ( BGE 124 V 309 Erw. 6; ARV 1998 Nr. 32 S. 178 Erw. 5a mit Hinweisen). b) Mit Kostennote vom 14. August 1998 macht der Rechtsvertreter der Beschwerdeführerin ein Honorar von Fr. 2'800.-- zuzüglich Fr. 15.-- Auslagen und Fr. 183.-- Mehrwertsteuer geltend, was angemessen ist. Dabei rechtfertigt es sich, dass bei Einreichung einer - wie hier - masslich begründeten Kostennote mit separat ausgewiesener Mehrwertsteuer die Parteientschädigung um diesen Mehrwertsteuerbetrag erhöht wird. Denn die Mehrwertsteuer steigert die Aufwendungen des Anwalts und führt, wenn sie im Rahmen der prozessualen Kostenliquidation nicht überwälzt werden kann, grundsätzlich zu einer entsprechenden Minderung seines Einkommens. Mangels vernünftiger Gründe, den Entschädigungsberechtigten diese indirekte Steuer tragen zu lassen, stellt die strikte Anwendung eines Tarifs ohne Berücksichtigung der Mehrwertsteuer eine willkürliche Reduktion der Entschädigung dar (vgl. BGE 122 I 4 Erw. 3c). Anders verhält es sich dagegen, wenn eine Entschädigung in einem Gesamtbetrag zugesprochen wird (vgl. Art. 1 des Tarifs über die Entschädigungen an die Gegenpartei für das Verfahren vor dem Eidg. Versicherungsgericht in Verbindung mit Art. 8 Abs. 1 desjenigen für das Verfahren vor dem Bundesgericht). In diesem Fall ist die Mehrwertsteuer im Betrag praxisgemäss pauschal enthalten und nicht noch zusätzlich zu vergüten (nicht publizierte Erw. 9 des Urteils BGE 124 V 118 ; RKUV 1996 Nr. U 259 S. 262 Erw. 5c in fine; ferner Urteil des Schweizerischen Bundesgerichts vom 28. Februar 1996 in SJ 1996 S. 275). Soweit der in SVR 1996 IV Nr. 87 S. 262 publizierten Erwägung 4 des Urteils BGE 122 V 77 etwas anderes entnommen werden kann, ist daran nicht festzuhalten. c) Nach dem Gesagten ist dem als unentgeltlich bestellten Rechtsvertreter der Beschwerdeführerin eine Entschädigung von Fr. 2'998.-- (Fr. 2'800.-- Honorar zuzüglich Fr. 15.-- Auslagen und Fr. 183.-- Mehrwertsteuer) zuzuerkennen. BGE 125 V 201 S. 203 Es wird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