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171</w:t>
      </w:r>
    </w:p>
    <w:p>
      <w:r>
        <w:t>Bundesgericht (BGE), 1999-04-21, DE</w:t>
      </w:r>
    </w:p>
    <w:p>
      <w:r>
        <w:rPr>
          <w:b/>
        </w:rPr>
        <w:t xml:space="preserve">Quelle: </w:t>
      </w:r>
      <w:r>
        <w:t>https://mcp.opencaselaw.ch/entscheid/bge_BGE_125_V_171</w:t>
      </w:r>
    </w:p>
    <w:p>
      <w:r>
        <w:t>FR: ATF 125 V 171</w:t>
      </w:r>
    </w:p>
    <w:p>
      <w:r>
        <w:t>IT: DTF 125 V 171</w:t>
      </w:r>
    </w:p>
    <w:p>
      <w:pPr>
        <w:pStyle w:val="Heading2"/>
      </w:pPr>
      <w:r>
        <w:t>Regeste</w:t>
      </w:r>
    </w:p>
    <w:p>
      <w:r>
        <w:t>Regeste Art. 331a Abs. 2 OR. Die Vorsorgeeinrichtungen dürfen den während des Vorsorgeverhältnisses gewährten überobligatorischen Vorsorgeschutz gegen Tod und Invalidität für die Dauer der einmonatigen Nachdeckung nicht auf die Mindestleistungen gemäss BVG herabsetzen.</w:t>
      </w:r>
    </w:p>
    <w:p>
      <w:r>
        <w:t>Regeste Art. 331a al. 2 CO. Les institutions de prévoyance qui étendent la prévoyance au-delà du minimum légal pour les risques de décès et d'invalidité ne peuvent pas ramener cette couverture au minimum légal selon la LPP pendant le mois durant lequel la couverture d'assurance est prolongée au terme des rapports avec l'institution de prévoyance.</w:t>
      </w:r>
    </w:p>
    <w:p>
      <w:r>
        <w:t>Regesto Art. 331a cpv. 2 CO. Gli istituti previdenziali non possono per il mese in cui al termine del rapporto la copertura è protratta ricondurre al minimo legale giusta la LPP la protezione più estesa assicurata per i rischi di morte e d'invalidità vigente il rapporto.</w:t>
      </w:r>
    </w:p>
    <w:p>
      <w:pPr>
        <w:pStyle w:val="Heading2"/>
      </w:pPr>
      <w:r>
        <w:t>Erwägungen</w:t>
      </w:r>
    </w:p>
    <w:p>
      <w:r>
        <w:rPr>
          <w:b/>
        </w:rPr>
        <w:t>E. 3</w:t>
      </w:r>
    </w:p>
    <w:p>
      <w:r>
        <w:t>a) Die Vorsorgeeinrichtungen sind im Rahmen des BVG ( Art. 6 ff., Art. 49 Abs. 1 BVG ), der Vorschriften des Obligationenrechts über die Personalvorsorge (Art. 331-331e in Verbindung mit Art. 361/62 OR) und der allgemeinen Rechtsgrundsätze in der Gestaltung ihrer Leistungen frei. BGE 125 V 171 S. 173 Anzumerken gilt, dass die Bestimmungen der Art. 331a-e OR auch bei öffentlich-rechtlichen Dienstverhältnissen anwendbar sind ( Art. 342 Abs. 1 lit. a OR ). b) Beim Tod von Mitgliedern oder Rentenberechtigten der Personalvorsorgekasse der Stadt Bern haben die überlebenden Ehegatten Anspruch auf eine Ehegattenrente, wenn sie für den Unterhalt eines oder mehrerer Kinder aufkommen müssen (Art. 39 Abs. 1 lit. a Reglement). Diese [nach Art. 40 des Reglements berechnete] Rente beläuft sich auf einen höheren Betrag als die Witwenrente gemäss den Bestimmungen des BVG. Die Mitgliedschaft endet, wenn das Dienst- oder Arbeitsverhältnis aufgelöst wird (Art. 8 Abs. 2 Reglement). Gemäss Art. 8 Abs. 3 des Reglements bleiben Arbeitnehmerinnen und Arbeitnehmer für die Risiken Tod oder Invalidität während 30 Tagen nach der Auflösung ihres Dienst- und Arbeitsverhältnisses bei der Pensionskasse für die Minimalleistungen gemäss BVG versichert, sofern sie nicht vorher ein neues Dienst- oder Arbeitsverhältnis begonnen haben, für das sie der obligatorischen Versicherung gemäss BVG unterstehen. Im Hinblick auf die Inkraftsetzung des Freizügigkeitsgesetzes auf den 1. Januar 1995 beschloss die Verwaltungskommission der Kasse am 2. Dezember 1994 - vorerst ohne das Reglement formell anzupassen (vgl. Art. 27 Abs. 2 FZG ) -, dass die Bestimmungen des neuen Gesetzes für die von seinem Inkrafttreten an erfolgenden Austritte gültig und anders lautende Bestimmungen des Personalvorsorgereglements von diesem Datum an nicht mehr gültig seien.</w:t>
      </w:r>
    </w:p>
    <w:p>
      <w:r>
        <w:rPr>
          <w:b/>
        </w:rPr>
        <w:t>E. 4</w:t>
      </w:r>
    </w:p>
    <w:p>
      <w:r>
        <w:t>Vorliegend steht fest, dass die Ehefrau des Beschwerdeführers laut den reglementarischen Bestimmungen im Zeitpunkt ihres Todes nicht mehr Mitglied der Kasse war, da ihr Arbeitsverhältnis - wenn auch weniger als 30 Tage - vorher aufgelöst worden war, sodass gemäss Reglement lediglich noch für die Minimalleistungen in der Höhe der Hinterlassenenleistungen nach BVG Deckung bestand. Mit der Zusprechung einer Ehegattenrente im Betrag der gesetzlichen Mindestrente für Witwen hat die Vorinstanz nicht nur den Mindestanspruch gemäss BVG, sondern auch den dem Beschwerdeführer nach Art. 8 Abs. 3 Reglement zustehenden Anspruch auf Ehegattenrente bejaht. Der Beschwerdeführer beansprucht aber darüber hinaus eine Ehegattenrente im Betrag, der ausgerichtet worden wäre, wenn seine Ehefrau während der Dauer ihrer Mitgliedschaft gestorben wäre. Es ist deshalb zu prüfen, ob die Einschränkung der Versicherungsdeckung für die Dauer der Nachfrist auf den BGE 125 V 171 S. 174 Betrag der gesetzlichen Mindestleistungen gemäss Art. 8 Abs. 3 Reglement rechtmässig ist.</w:t>
      </w:r>
    </w:p>
    <w:p>
      <w:r>
        <w:rPr>
          <w:b/>
        </w:rPr>
        <w:t>E. 5</w:t>
      </w:r>
    </w:p>
    <w:p>
      <w:r>
        <w:t>a) Art. 331a OR bestimmt, dass der Vorsorgeschutz an dem Tag endet, an welchem der Arbeitnehmer die Vorsorgeeinrichtung verlässt (Abs. 1). Der Arbeitnehmer geniesst jedoch einen Vorsorgeschutz gegen Tod und Invalidität, bis er in ein neues Vorsorgeverhältnis eingetreten ist, längstens aber während eines Monats (Abs. 2). Für den nach Beendigung des Vorsorgeverhältnisses gewährten Vorsorgeschutz kann die Vorsorgeeinrichtung vom Arbeitnehmer Risikobeiträge verlangen (Abs. 3). Von diesen Vorschriften darf zu Ungunsten des Arbeitnehmers nicht abgewichen werden ( Art. 362 Abs. 1 OR ). Sie stimmen inhaltlich mit dem für den Obligatoriumsbereich geltenden Art. 10 Abs. 3 BVG überein. b) Art. 331a OR wurde - wie Art. 10 Abs. 3 BVG - mit dem Inkrafttreten des Freizügigkeitsgesetzes (FZG) am 1. Januar 1995 abgeändert. Bis dahin hatten in der überobligatorischen Vorsorge gesetzliche Bestimmungen über das Ende des Vorsorgeschutzes gefehlt. Durch die neue Vorschrift sollte der Übergang des Vorsorgeschutzes für Tod und Invalidität bis zum Eintritt in ein neues Vorsorgeverhältnis möglichst lückenlos gewährleistet werden. Indem sie dem für das Obligatorium geltenden Art. 10 Abs. 3 BVG entspricht, bedeutet diese Regelung nach Auffassung des Bundesrates eine Vereinfachung für Vorsorgeeinrichtungen, deren Leistungen diejenigen der BVG-Minimalvorschriften übersteigen (Botschaft zum Freizügigkeitsgesetz vom 26. Februar 1992, BBl 1992 III 603). Die Änderung wurde in den Räten diskussionslos angenommen (Amtl.Bull. 1992 N 2460, 1993 S 571 f.). c) Ob die Vorsorgeeinrichtungen befugt sind, den Vorsorgeschutz während der Dauer der Nachdeckung gegenüber demjenigen während des bestehenden Vorsorgeverhältnisses zu reduzieren, wurde vom Eidg. Versicherungsgericht bisher nicht entschieden. In der Literatur findet sich, soweit ersichtlich, lediglich im Handbuch der Personalvorsorge-Aufsicht des Amtes für berufliche Vorsorge des Kantons Zürich (Separatum Freizügigkeit/Wohneigentumsförderung, Zürich 1994, S. 42) der Hinweis, dass infolge der Neufassung von Art. 331a Abs. 2 OR eine Beschränkung der Nachdeckung auf die obligatorischen Mindestleistungen nicht mehr zulässig sei. d) aa) Vorinstanz, Kasse und Bundesamt machen geltend, gemäss Art. 49 Abs. 1 BVG müssten die Vorsorgeeinrichtungen nur die gesetzlichen Mindestleistungen erbringen, sodass eine Reduktion auf das gesetzliche BGE 125 V 171 S. 175 Minimum zulässig sei. Dem ist entgegenzuhalten, dass die Vorsorgeeinrichtungen zwar nicht verpflichtet sind, reglementarisch überobligatorische Leistungen zu gewähren, dass dadurch aber nicht entschieden ist, unter welchen Voraussetzungen eine Rücknahme der einmal zugesagten Deckung zulässig ist. Vorliegend fällt entscheidend ins Gewicht, dass der für den überobligatorischen Bereich geltende Art. 331a Abs. 2 OR die Weiterdauer des Vorsorgeschutzes für die Risiken Tod und Invalidität während eines Monats über das Ende des Vorsorgeverhältnisses hinaus vorschreibt. Hätte die Gesetzgebung eine Fortdauer des Vorsorgeschutzes auf dem Niveau der gesetzlichen Mindestleistungen genügen lassen wollen, hätte sie es bei der Revision von Art. 10 Abs. 3 BVG bewenden lassen können. Die zur Neuformulierung von Art. 331a Abs. 2 OR angegebenen Gründe können nur dahin gehend verstanden werden, dass der während der Dauer des Vorsorgeverhältnisses bestehende Schutz für die Risiken Tod und Invalitität während der Nachdeckung auch betraglich im bisherigen Rahmen weiter bestehen soll. Ein Absinken auf das gesetzliche Minimum würde zwar nicht eine vollständige, aber doch eine teilweise Lücke im Vorsorgeschutz bedeuten. Indem die neue Bestimmung für die Vorsorgeeinrichtungen eine Vereinfachung bringen sollte, ging die Gesetzgebung offensichtlich davon aus, dass für die Dauer der Nachdeckung keine Sonderregelungen getroffen werden können, sondern der Vorsorgeschutz - wie im Obligatoriumsbereich - für die genannten beiden Risiken unverändert fortgeführt wird. Entgegen der Auffassung der Vorinstanz hat Art. 331a OR nicht nur eine zeitliche, sondern auch eine massliche Bedeutung. bb) Es kann der Kasse auch keineswegs darin beigepflichtet werden, dass der Vorsorgeschutz nach Art. 331a Abs. 2 OR nur dann ungeschmälert zu bejahen ist, wenn die Vorsorgeeinrichtung nichts Abweichendes statuiert hat. Wie bereits erwähnt, darf diese Bestimmung gemäss Art. 362 Abs. 1 OR nicht zu Ungunsten der Arbeitnehmerinnen und Arbeitnehmer abgeändert werden. Es kann deshalb offen bleiben, ob die abweichende Regelung der Kasse in Art. 8 Abs. 3 Reglement nicht auch im Hinblick auf den erwähnten (Erw. 3b hievor) Beschluss der Verwaltungskommission vom 2. Dezember 1994 nach Inkrafttreten von Art. 331a OR nicht mehr anwendbar war. Schliesslich ist dem deutschen (sowie dem diesbezüglich übereinstimmenden französischen) Wortlaut von Art. 331a Abs. 2 OR , wonach der Arbeitnehmer BGE 125 V 171 S. 176 "einen Vorsorgeschutz" geniesst ("bénéficie toutefois d'une protection de prévoyance"), - entgegen der Auffassung der Kasse - nicht schlüssig zu entnehmen, dass es im Belieben der Vorsorgeeinrichtung stehe, in welchem Umfang sie Vorsorgeschutz gewähren will, ja, dass sie den bisherigen überobligatorischen Schutz gänzlich aufheben dürfe (vgl. immerhin die italienische Fassung dieser Bestimmung: "beneficia della protezione di previdenza"). Als für die Auslegung aufschlussreicher erweist sich Abs. 3 von Art. 331a OR , namentlich in der französischen und italienischen Version: "... la prévoyance maintenue ..." und "... la previdenza mantenuta ...", was klar auf den bisherigen Versicherungsumfang für die Risiken Tod und Invalidität hinweist. e) Zusammenfassend ist der Anspruch des Beschwerdeführers auf eine nach Art. 40 des Reglements berechnete Ehegattenrente zu bejahen.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