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60</w:t>
      </w:r>
    </w:p>
    <w:p>
      <w:r>
        <w:t>Bundesgericht (BGE), 1998-01-01, DE</w:t>
      </w:r>
    </w:p>
    <w:p>
      <w:r>
        <w:rPr>
          <w:b/>
        </w:rPr>
        <w:t xml:space="preserve">Quelle: </w:t>
      </w:r>
      <w:r>
        <w:t>https://mcp.opencaselaw.ch/entscheid/bge_BGE_125_I_60</w:t>
      </w:r>
    </w:p>
    <w:p>
      <w:r>
        <w:t>FR: ATF 125 I 60</w:t>
      </w:r>
    </w:p>
    <w:p>
      <w:r>
        <w:t>IT: DTF 125 I 60</w:t>
      </w:r>
    </w:p>
    <w:p>
      <w:pPr>
        <w:pStyle w:val="Heading2"/>
      </w:pPr>
      <w:r>
        <w:t>Regeste</w:t>
      </w:r>
    </w:p>
    <w:p>
      <w:r>
        <w:t>Regeste Persönliche Freiheit. §§ 105 und 106 StPO/TG. Untersuchungshaft: Fortsetzungs- und Fluchtgefahr, Verhältnismässigkeit. Voraussetzungen, unter denen Fortsetzungs- (E. 3a und 3b) und Fluchtgefahr (E. 3a und 3c) (Fall eines Asylbewerbers) gegeben ist. Die Möglichkeit, dass die drohende Strafe bedingt ausgesprochen wird, ist bei der Beurteilung der Untersuchungshaft auf ihre Verhältnismässigkeit hin grundsätzlich nicht zu berücksichtigen (E. 3d).</w:t>
      </w:r>
    </w:p>
    <w:p>
      <w:r>
        <w:t>Regeste Liberté personnelle. §§ 105 et 106 CPP/TG. Détention préventive: risque de réitération et de fuite, proportionnalité. Conditions requises pour admettre un risque de réitération (consid. 3a et 3b) et un risque de fuite (cas d'un requérant d'asile) (consid. 3a et 3c). Le fait que la peine menaçant l'intéressé puisse être assortie du sursis n'a par principe pas à être pris en considération dans l'examen de la proportionnalité de la détention préventive (consid. 3d).</w:t>
      </w:r>
    </w:p>
    <w:p>
      <w:r>
        <w:t>Regesto Libertà personale. §§ 105 e 106 CPP/TG. Carcere preventivo: pericolo di recidiva e di fuga, proporzionalità. Requisiti per ammettere un rischio di recidiva (consid. 3a e 3b) e di fuga (caso di un richiedente l'asilo) (consid. 3a e c). La possibilità che venga pronunciata una sospensione condizionale della pena non dev'essere, di massima, presa in considerazione nell'ambito dell'esame della proporzionalità del carcere preventivo (consid. 3d).</w:t>
      </w:r>
    </w:p>
    <w:p>
      <w:pPr>
        <w:pStyle w:val="Heading2"/>
      </w:pPr>
      <w:r>
        <w:t>Erwägungen</w:t>
      </w:r>
    </w:p>
    <w:p>
      <w:r>
        <w:rPr>
          <w:b/>
        </w:rPr>
        <w:t>E. 2</w:t>
      </w:r>
    </w:p>
    <w:p>
      <w:r>
        <w:t>a) Untersuchungs- und, nach Abschluss der Untersuchung, Sicherheitshaft kann im Kanton Thurgau (u.a.) verhängt werden, wenn der Angeschuldigte eines Vergehens oder Verbrechens dringend verdächtig ist und Flucht- oder Fortsetzungsgefahr besteht (§ 105 Abs. 2 i.V.m. § 106 Abs. 1 Ziff. 1 und 3 und Abs. 3 der Strafprozessordnung vom 30. Juni 1970/5. November 1991; BGE 125 I 60 S. 62 StPO/TG). Die Untersuchungshaft darf nur solange aufrechterhalten werden, als ein Haftgrund besteht und sie die Dauer der dem Angeschuldigten drohenden Freiheitsstrafe nicht überschreitet ( § 106 Abs. 2 StPO /TG). Eine unter diesen Voraussetzungen angeordnete Inhaftierung ist auch unter dem Gesichtswinkel der persönlichen Freiheit grundsätzlich nicht zu beanstanden. b) Nicht umstritten ist, dass der allgemeine Haftgrund des dringenden Tatverdachts gegeben ist. Der Beschwerdeführer hat im Laufe des Verfahrens zugegeben, an einer Serie von Einbruchdiebstählen mit einer Deliktssumme in der Grössenordnung von über 100'000 Franken beteiligt gewesen zu sein.</w:t>
      </w:r>
    </w:p>
    <w:p>
      <w:r>
        <w:rPr>
          <w:b/>
        </w:rPr>
        <w:t>E. 3</w:t>
      </w:r>
    </w:p>
    <w:p>
      <w:r>
        <w:t>Der Beschwerdeführer macht indessen geltend, es bestehe weder Flucht- noch Fortsetzungsgefahr. a) Die Anordnung von Untersuchungshaft wegen Fortsetzungsgefahr ist nach der bundesgerichtlichen Rechtsprechung verhältnismässig, wenn einerseits die Rückfallprognose sehr ungünstig und anderseits die zu befürchtenden Delikte von schwerer Natur sind. Die rein hypothetische Möglichkeit der Verübung weiterer Delikte sowie die Wahrscheinlichkeit, dass nur geringfügige Straftaten verübt werden, reichen dagegen nicht aus, um eine Präventivhaft zu begründen ( BGE 123 I 268 S. 270 unten). Für die Annahme von Fluchtgefahr genügt nach der Rechtsprechung des Bundesgerichts die Höhe der dem Angeschuldigten drohenden Freiheitsstrafe für sich allein nicht. Eine solche darf nicht schon angenommen werden, wenn die Möglichkeit der Flucht in abstrakter Weise besteht. Vielmehr müssen konkrete Gründe dargetan werden, die eine Flucht nicht nur als möglich, sondern als wahrscheinlich erscheinen lassen. Die Höhe der drohenden Freiheitsstrafe kann immer nur neben anderen, eine Flucht begünstigenden Tatsachen herangezogen werden ( BGE 117 Ia 69 E. 4a; BGE 108 Ia 64 E. 3; BGE 107 Ia 3 E. 6). b) Der Präsident der Anklagekammer hat im angefochtenen Entscheid im Wesentlichen Fortsetzungsgefahr bejaht, weil der Beschwerdeführer, nachdem er vom 6. bis zum 9. Februar 1998 wegen eines Einbruchdiebstahls in Untersuchungshaft war, bereits in der Nacht vom 15. zum 16. Februar 1998 wieder straffällig wurde und anschliessend bis zu seiner erneuten Verhaftung am 2. April 1998 die ihm nun vorgeworfene Diebstähle beging. Das ist nicht zu beanstanden. Der Beschwerdeführer konnte sich mit den Lebensbedingungen, wie sie ihm in der Schweiz angeboten wurden, offensichtlich nicht abfinden. So beklagte er sich am BGE 125 I 60 S. 63 10. September 1998 gegenüber dem Vize-Statthalter des Bezirksamtes Bischofszell in der Untersuchung über die ungenügende Höhe der Unterstützung und fügte auf den anschliessenden Vorhalt, es gebe in der Schweiz viele Asylbewerber, die mit dem ihnen zur Verfügung stehenden Geld auskämen, hinzu: "Ich glaube, es gibt nicht viele Asylbewerber, die nicht irgendetwas machen, um den Lebensstandard zu verbessern". Damit hat der Beschwerdeführer nicht nur deutlich gemacht, dass er die ihm zur Verfügung gestellte Unterstützung von monatlich Fr. 480.-- unzumutbar tief findet. Er hat auch gezeigt, dass er willens und fähig ist, diese auf kriminelle Weise aufzubessern und sich davon auch durch eine Strafuntersuchung nicht abhalten lässt. Auf jeden Fall hat er mit der nahtlosen Fortsetzung seiner Straftaten trotz der eingeleiteten Untersuchung und der ersten Untersuchungshaft eine Unverfrorenheit an den Tag gelegt, die gegenwärtig nicht erlaubt anzunehmen, er lasse sich durch die inzwischen erlittene längere Untersuchungshaft von weiteren Straftaten abhalten. Seine ökonomische Situation ist nach wie vor die gleiche, und nachdem sein Asylgesuch inzwischen abgewiesen und ihm eine Ausreisefrist angesetzt wurde, hat er in der Schweiz praktisch nichts mehr zu verlieren und ist die Warnwirkung eines Freiheitsentzuges entsprechend gering. Daran vermag nichts zu ändern, dass er bei der oben angeführten Einvernahme dann anführte, er sehe jetzt ein, dass er auf dem falschen Weg sei. Es besteht daher nicht bloss die hypothetische Möglichkeit eines Rückfalls; die Rückfallprognose erscheint vielmehr als sehr ungünstig. Angesichts der ihm zur Last gelegten Höhe der Deliktssumme sind auch Delikte schwerer Natur zu befürchten, weshalb die Bejahung der Fortsetzungsgefahr seine verfassungsmässigen Rechte nicht verletzt. c) Der aus dem Kosovo stammende Beschwerdeführer kam nach seinen eigenen Angaben mit gefälschten slowenischen Reisepapieren nach Italien und danach am 18. Februar 1997 als Asylbewerber in die Schweiz. Sein Asylgesuch wurde, wie erwähnt, inzwischen abgewiesen und das Bundesamt für Flüchtlinge setzte ihm am 4. Dezember 1997 eine Ausreisefrist an, die in der Zwischenzeit abgelaufen ist. Es ist somit kein plausibler Grund ersichtlich, der ihn von einer Flucht abhalten und veranlassen könnte, eine allfällige Freiheitsstrafe freiwillig anzutreten. Der Umstand, dass sein Bruder in Winterthur lebt, ist jedenfalls dazu nicht geeignet, schon weil eine allfällige Flucht des Beschwerdeführers die Beziehung der beiden Brüder keineswegs auf Dauer unterbinden müsste. Da er zudem, wie seine Einreise zeigt, offensichtlich auch gewillt und in der Lage ist, BGE 125 I 60 S. 64 sich nötigenfalls gefälschte Reisedokumente zu beschaffen, hat der Präsident der Anklagekammer im angefochtenen Entscheid Fluchtgefahr ohne Verfassungsverletzung bejaht. d) Der Beschwerdeführer macht geltend, die Staatsanwaltschaft beantrage eine Strafe von unter 18 Monaten, sodass er mit dem bedingten Strafvollzug rechnen könne. Die weitere Inhaftierung sei daher willkürlich. Der Beschwerdeführer befindet sich seit rund 7 Monaten in Haft. Er tut nicht dar, dass der voraussichtliche Strafantrag von rund 18 Monaten überrissen wäre, und das ist auch nicht ersichtlich. Es kann daher vorläufig noch nicht die Rede davon sein, die erstandene Untersuchungshaft rücke in grosse Nähe der dem Beschwerdeführer drohenden Strafe. Dass bei diesem Strafantrag die Gewährung des bedingten Strafvollzugs möglich ist, ist dabei nach der Rechtsprechung des Bundesgerichts grundsätzlich nicht zu berücksichtigen ( BGE 124 I 208 E. 6). Im Übrigen ist der Beschwerdeführer darauf hinzuweisen, dass der bedingte Strafvollzug auch einem Ersttäter nicht in jedem Fall zu gewähren ist, sondern nur, wenn ihm eine gute Prognose gestellt werden kann ( Art. 41 Ziff. 1 Abs. 1 StGB ). Das steht in seinem Fall nach dem unter b) Gesagten jedenfalls keineswegs von vornherein fest.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