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46</w:t>
      </w:r>
    </w:p>
    <w:p>
      <w:r>
        <w:t>Bundesgericht (BGE), 1998-01-01, DE</w:t>
      </w:r>
    </w:p>
    <w:p>
      <w:r>
        <w:rPr>
          <w:b/>
        </w:rPr>
        <w:t xml:space="preserve">Quelle: </w:t>
      </w:r>
      <w:r>
        <w:t>https://mcp.opencaselaw.ch/entscheid/bge_BGE_125_I_46</w:t>
      </w:r>
    </w:p>
    <w:p>
      <w:r>
        <w:t>FR: ATF 125 I 46</w:t>
      </w:r>
    </w:p>
    <w:p>
      <w:r>
        <w:t>IT: DTF 125 I 46</w:t>
      </w:r>
    </w:p>
    <w:p>
      <w:pPr>
        <w:pStyle w:val="Heading2"/>
      </w:pPr>
      <w:r>
        <w:t>Regeste</w:t>
      </w:r>
    </w:p>
    <w:p>
      <w:r>
        <w:t>Regeste Art. 36 Abs. 4 BV, Art. 8 EMRK; Telefonabhörung, Verwendung von Zufallsfunden als Beweismittel im Strafverfahren gegen den von der Abhörung mit erfassten Gesprächspartner, Zeugnisverweigerungsrecht aufgrund des Berufsgeheimnisses. Die auf dem Berufsgeheimnis beruhende Einschränkung der Verwendung von Abhörprotokollen entfällt, wenn die zur Zeugnisverweigerung berechtigte Person selbst einer überwachungswürdigen Straftat verdächtigt wird. Protokolle über Gespräche einer rechtmässig überwachten Person dürfen daher zu Lasten des mit abgehörten Berufsgeheimnisträgers verwendet werden, sofern bei diesem die Voraussetzungen für eine Telefonabhörung ebenfalls erfüllt gewesen wären (E. 6). Voraussetzung der Schwere des Delikts (E. 7a).</w:t>
      </w:r>
    </w:p>
    <w:p>
      <w:r>
        <w:t>Regeste Art. 36 al. 4 Cst., art. 8 CEDH; écoute téléphonique, utilisation de preuves recueillies par hasard dans la procédure pénale contre l'interlocuteur atteint simultanément par l'écoute; droit de refuser de témoigner fondé sur le secret professionnel. Le secret professionnel ne fait pas obstacle à l'utilisation des procès-verbaux d'écoute lorsque la personne qui aurait le droit de refuser son témoignage est elle-même soupçonnée d'une infraction pouvant justifier une écoute. Les procès-verbaux de conversations d'une personne régulièrement surveillée peuvent donc être utilisés au détriment de l'interlocuteur qui est au bénéfice du secret professionnel, dans la mesure où, à son égard, les conditions d'une écoute téléphonique seraient aussi remplies (consid. 6). Condition relative à la gravité du délit (consid. 7a).</w:t>
      </w:r>
    </w:p>
    <w:p>
      <w:r>
        <w:t>Regesto Art. 36 cpv. 4 Cost., art. 8 CEDU; intercettazione telefonica, utilizzazione di mezzi di prova raccolti fortuitamente nell'ambito del procedimento penale contro l'interlocutore coinvolto nell'intercettazione; diritto di non testimoniare fondato sul segreto professionale. La limitazione, fondata sul segreto professionale, dell'utilizzazione di verbali d'intercettazione viene a cadere quando la persona che fruisce del diritto di non testimoniare è essa medesima sospettata di aver commesso un reato giustificante un'intercettazione. I verbali concernenti conversazioni di una persona legittimamente sorvegliata possono quindi essere utilizzati a carico dell'interlocutore che fruisce d'un segreto professionale, nella misura in cui, anche nei suoi confronti, sarebbero adempiute le condizioni per un'intercettazione telefonica (consid. 6). Condizioni relative alla gravità del reato (consid. 7).</w:t>
      </w:r>
    </w:p>
    <w:p>
      <w:pPr>
        <w:pStyle w:val="Heading2"/>
      </w:pPr>
      <w:r>
        <w:t>Erwägungen</w:t>
      </w:r>
    </w:p>
    <w:p>
      <w:r>
        <w:rPr>
          <w:b/>
        </w:rPr>
        <w:t>E. 3</w:t>
      </w:r>
    </w:p>
    <w:p>
      <w:r>
        <w:t>Mit dem angefochtenen Entscheid hat die KAK zwölf Abhörprotokolle der im Strafverfahren gegen A. überwachten Telefonanschlüsse zur Verwendung im Strafverfahren gegen den Beschwerdeführer zugelassen. Dieser macht geltend, der Entscheid verletze das Telefongeheimnis gemäss Art. 36 Abs. 4 BV und Art. 8 Ziff. 1 EMRK sowie das Willkürverbot nach Art. 4 BV . a) Art. 36 Abs. 4 BV und Art. 8 Ziff. 1 EMRK garantieren das Telefongeheimnis. Sie schützen damit die persönliche Geheimsphäre der am Telefonverkehr beteiligten Personen. Die Verfassungsgarantie BGE 125 I 46 S. 48 kann eingeschränkt werden, sofern die Einschränkung auf einer gesetzlichen Grundlage beruht, im öffentlichen Interesse liegt und verhältnismässig ist. In ähnlicher Weise kann nach Art. 8 Ziff. 2 EMRK in das durch die EMRK gewährleistete Telefongeheimnis eingegriffen werden, wenn dieser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 BGE 122 I 182 E. 3a; BGE 120 Ia 314 E. 2a). b) Die Überwachung des Telefonverkehrs ist im Kanton Luzern in den §§ 117 ff. des Gesetzes über die Strafprozessordnung (StPO) geregelt. § 117 StPO umschreibt die Voraussetzungen der Telefonabhörung wie folgt: "Der Amtsstatthalter und der Staatsanwalt können den Post-, Telefon- und Telegrafenverkehr des Angeschuldigten überwachen und Sendungen beschlagnahmen lassen sowie technische Überwachungsgeräte einsetzen, wenn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