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206</w:t>
      </w:r>
    </w:p>
    <w:p>
      <w:r>
        <w:t>Bundesgericht (BGE), 1999-01-01, FR</w:t>
      </w:r>
    </w:p>
    <w:p>
      <w:r>
        <w:rPr>
          <w:b/>
        </w:rPr>
        <w:t xml:space="preserve">Quelle: </w:t>
      </w:r>
      <w:r>
        <w:t>https://mcp.opencaselaw.ch/entscheid/bge_BGE_125_IV_206</w:t>
      </w:r>
    </w:p>
    <w:p>
      <w:r>
        <w:t>FR: ATF 125 IV 206</w:t>
      </w:r>
    </w:p>
    <w:p>
      <w:r>
        <w:t>IT: DTF 125 IV 206</w:t>
      </w:r>
    </w:p>
    <w:p>
      <w:pPr>
        <w:pStyle w:val="Heading2"/>
      </w:pPr>
      <w:r>
        <w:t>Regeste</w:t>
      </w:r>
    </w:p>
    <w:p>
      <w:r>
        <w:t>Regeste Art. 270 Abs. 1 BStP und Art. 261bis StGB. Beschwerdelegitimation von Verbänden und Einzelpersonen bei Rassendiskriminierung (E. 2). Art. 261bis Abs. 4 StGB und Art. 27 StGB. Da Art. 261bis Abs. 4 StGB selbst die öffentliche Kundgabe von diskriminierenden Äusserungen und Darstellungen unter Strafe stellt, ist Art. 27 StGB in diesem Zusammenhang nicht anwendbar (E. 3).</w:t>
      </w:r>
    </w:p>
    <w:p>
      <w:r>
        <w:t>Regeste Art. 270 al. 1 PPF et 261bis CP. Qualité d'associations et d'une personne lésée à titre individuel pour se pourvoir en nullité en matière de discrimination raciale (consid. 2). Art. 261bis al. 4 CP et art. 27 CP. L'art. 27 CP n'est pas applicable à l'infraction réprimée par l'art. 261bis al. 4 CP, cette dernière disposition visant précisément à interdire la manifestation publique de propos ou représentations discriminatoires (consid. 3).</w:t>
      </w:r>
    </w:p>
    <w:p>
      <w:r>
        <w:t>Regesto Art. 270 cpv. 1 PP et 261bis CP. Legittimazione ricorsuale di associazioni e di singoli individui in materia di discriminazione razziale (consid. 2). Art. 261bis cpv. 4 CP e art. 27 CP. L'art. 27 CP non va applicato al reato previsto all'art. 261bis cpv. 4 CP poiché quest'ultima disposizione punisce precisamente la manifestazione pubblica di discorsi o di rappresentazioni discriminatori (consid. 3).</w:t>
      </w:r>
    </w:p>
    <w:p>
      <w:pPr>
        <w:pStyle w:val="Heading2"/>
      </w:pPr>
      <w:r>
        <w:t>Erwägungen</w:t>
      </w:r>
    </w:p>
    <w:p>
      <w:r>
        <w:rPr>
          <w:b/>
        </w:rPr>
        <w:t>E. 1</w:t>
      </w:r>
    </w:p>
    <w:p>
      <w:r>
        <w:t>Les pourvois, qui contiennent pour l'essentiel les mêmes griefs, sont dirigés contre la même décision. Il se justifie donc de les réunir et de les traiter dans un seul et même arrêt. BGE 125 IV 206 S. 210</w:t>
      </w:r>
    </w:p>
    <w:p>
      <w:r>
        <w:rPr>
          <w:b/>
        </w:rPr>
        <w:t>E. 2</w:t>
      </w:r>
    </w:p>
    <w:p>
      <w:r>
        <w:t>a) Selon l' art. 270 al. 1 PPF , le lésé peut se pourvoir en nullité s'il était déjà partie à la procédure auparavant et dans la mesure où la sentence peut avoir des effets sur le jugement de ses prétentions civiles. Est lésé au sens de cette disposition celui qui subit directement un dommage à raison de l'acte dénoncé ou dont le dommage est directement menacé d'être augmenté par cet acte; en règle générale, il s'agit du titulaire du bien juridique protégé par la disposition légale à laquelle il a été contrevenu ( ATF 120 IV 154 consid. 3c/cc p. 159). Exceptionnellement, ont en outre qualité pour se pourvoir en nullité les associations professionnelles et économiques ainsi que les organisations de consommateurs dans le domaine de la concurrence déloyale ( art. 10 LCD , RS 241; ATF 120 IV 154 consid. 3c/cc p. 159). Une telle réglementation n'existe pas en matière de discrimination raciale au sens de l' art. 261bis CP . Les trois associations recourantes n'ont donc pas qualité pour se pourvoir en nullité, de sorte que leurs pourvois sont irrecevables. b) Pour autant que - sous réserve de rares exceptions - une personne puisse être lésée à titre individuel en raison de l'infraction en cause, le recourant Y. n'a déclaré se pourvoir en nullité que "très subsidiairement" en son propre nom et n'a motivé son pourvoi que pour le compte de l'association qu'il représente; il est donc douteux que le pourvoi soit suffisamment motivé dans la mesure où le recourant agit en son propre nom. Quoi qu'il en soit, le recourant ne démontre en aucune manière qu'il remplirait personnellement les conditions auxquelles un lésé peut se pourvoir en nullité (cf. ATF 125 IV 109 consid. 1b p. 111; ATF 123 IV 254 consid. 1 p. 256). Au demeurant, la décision attaquée libère l'intimé sur la base de l' art. 27 CP , de sorte qu'elle ne pourrait influencer négativement des prétentions civiles du recourant, qui n'invoque aucune violation de son droit de plainte découlant du droit fédéral (cf. ATF 124 IV 188 consid. 1b/bb et 1c p. 191 s.). Le pourvoi de Y. est par conséquent également irrecevable. c) S'agissant en revanche du Ministère public, il a incontestablement qualité pour se pourvoir en nullité (cf. art. 270 al. 1 PPF ), de sorte qu'il y a lieu d'entrer en matière sur son pourvoi.</w:t>
      </w:r>
    </w:p>
    <w:p>
      <w:r>
        <w:rPr>
          <w:b/>
        </w:rPr>
        <w:t>E. 3</w:t>
      </w:r>
    </w:p>
    <w:p>
      <w:r>
        <w:t>Le Ministère public reproche à la cour cantonale d'avoir admis que l' art. 27 CP s'applique à l'infraction réprimée par l' art. 261bis al. 4 CP et d'avoir ainsi exclu cette infraction. a) Un nouvel art. 27 CP est entré en vigueur le 1er avril 1998. Comme tant l'ancien que le nouvel art. 27 CP prévoient le principe d'un régime spécial de responsabilité en matière de délits de presse et qu'il s'agit avant tout d'examiner BGE 125 IV 206 S. 211 si l'infraction en cause est soumise à ce régime, on peut se dispenser à ce stade d'examiner la question du droit le plus favorable à l'intimé. b) Pour que l'art. 27 (ancien ou nouveau) CP soit applicable, il faut que l'infraction en cause constitue un délit de presse, c'est-à-dire qu'elle ait été commise par la voie de la presse et consommée par la publication. En l'espèce, il est essentiellement reproché à l'intimé d'avoir diffusé des livres à contenu discriminatoire au sens de l' art. 261bis al. 4 CP . S'agissant d'écrits publiés, il n'est pas douteux que la première de ces conditions, soit la commission par la voie de la presse, est réalisée. Pour ce qui est de la seconde condition, sa réalisation suppose que la publication elle-même suffise à consommer juridiquement l'infraction. Ainsi, l' art. 27 CP ne saurait notamment s'appliquer à l'escroquerie ( art. 146 CP ), au chantage ( art. 156 CP ) ou à la contrainte ( art. 181 CP ), dès lors que la consommation de ces infractions suppose que le comportement délictueux ait exercé un certain effet sur la victime (celle-ci doit avoir été dupée, intimidée, etc.). En revanche, la jurisprudence a notamment admis la réalisation de cette condition dans le cas des atteintes à l'honneur (cf. ATF 122 IV 311 ss; ATF 118 IV 153 consid. 4 p. 160 ss; ATF 117 IV 27 consid. 2c p. 29; ATF 106 IV 161 consid. 3 p. 164 s.; ATF 105 IV 114 consid. 2a p. 118 s.), de la provocation et incitation à la violation de devoirs militaires au sens de l' art. 276 ch. 1 CP (cf. ATF 100 IV 5 ss) et de l'infraction réprimée par l' art. 3 LCD (cf. ATF 117 IV 364 consid. 2b p. 365). S'agissant de l'infraction réprimée par l' art. 261bis al. 4 CP , il y a également lieu d'admettre que cette condition est remplie; l'infraction est en effet consommée dès que l'auteur, publiquement et d'une quelconque manière, abaisse ou discrimine d'une façon qui porte atteinte à la dignité humaine une personne ou un groupe de personnes pour l'un des motifs mentionnés par cette disposition, ou, pour l'un de ces motifs, nie, minimise grossièrement ou cherche à justifier un génocide ou d'autres crimes contre l'humanité. c) La réalisation des deux conditions précitées, si elle est nécessaire, ne suffit cependant pas toujours pour que l' art. 27 CP soit applicable. Encore faut-il que l'application de cette disposition à une infraction déterminée n'aboutisse pas à un résultat contraire au but que poursuivait le législateur en réprimant cette infraction. Lorsqu'une disposition pénale a précisément pour but d'empêcher la publication de certains propos ou représentations, autrement dit BGE 125 IV 206 S. 212 d'interdire des publications illicites, mettre les responsables de telles publications au bénéfice d'un régime spécial reviendrait à s'écarter du but poursuivi par le législateur. Ainsi, les art. 135 et 197 ch. 3 CP ont été édictés en vue d'interdire, aussi en sanctionnant divers comportements qui y aboutissent, la publication de représentations de la violence et de pornographie dure; accorder un traitement privilégié aux responsables de publications de représentations de la violence ou de pornographie dure serait dès lors en contradiction avec le but que poursuivait le législateur lorsqu'il a édicté les art. 135 et 197 ch. 3 CP ; de surcroît, si l'on voulait admettre que l' art. 27 CP est applicable aux responsables de telles publications, on aboutirait au résultat que ceux-ci pourraient être mieux traités que les auteurs d'actes précédant la publication elle-même (la fabrication, l'importation, la prise en dépôt, etc.). C'est d'ailleurs ce qui a conduit certains auteurs de doctrine à écarter l'application de l' art. 27 CP à ces infractions (cf. SCHULTZ, Die unerlaubte Veröffentlichung - ein Pressedelikt? RPS 109/1991 p. 273 ss, 278; TRECHSEL, Kurzkommentar, 2ème éd. Zurich 1997, art. 27 no 4). Ce qui vient d'être dit pour les infractions sanctionnées par les art. 135 et 197 ch. 3 CP vaut également pour celle qui est réprimée par l' art. 261bis al. 4 CP . Cette disposition vise en effet précisément à interdire, en réprimant les comportements qu'elle décrits, la manifestation publique de propos ou représentations discriminatoires. Admettre l'application de l' art. 27 CP à cette infraction serait donc contraire au but que poursuivait le législateur en édictant l' art. 261bis al. 4 CP . d) Au vu de ce qui précède, c'est à tort que la cour cantonale a admis l'application de l' art. 27 CP à l'infraction en cause. Le pourvoi du Ministère public est donc fondé et doit dès lors être admis. En conséquence, l'arrêt attaqué doit être annulé et la cause renvoyée à l'autorité cantonale pour qu'elle statue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