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396</w:t>
      </w:r>
    </w:p>
    <w:p>
      <w:r>
        <w:t>Bundesgericht (BGE), 1999-01-01, FR</w:t>
      </w:r>
    </w:p>
    <w:p>
      <w:r>
        <w:rPr>
          <w:b/>
        </w:rPr>
        <w:t xml:space="preserve">Quelle: </w:t>
      </w:r>
      <w:r>
        <w:t>https://mcp.opencaselaw.ch/entscheid/bge_BGE_125_II_396</w:t>
      </w:r>
    </w:p>
    <w:p>
      <w:r>
        <w:t>FR: ATF 125 II 396</w:t>
      </w:r>
    </w:p>
    <w:p>
      <w:r>
        <w:t>IT: DTF 125 II 396</w:t>
      </w:r>
    </w:p>
    <w:p>
      <w:pPr>
        <w:pStyle w:val="Heading2"/>
      </w:pPr>
      <w:r>
        <w:t>Regeste</w:t>
      </w:r>
    </w:p>
    <w:p>
      <w:r>
        <w:t>Regeste Art. 14 Abs. 2 lit. c SVG, Art. 16 Abs. 1 und 3 lit. b SVG; Warnungsentzug wegen Fahrens in angetrunkenem Zustand und Sicherungsentzug wegen Trunksucht. An der Fahreignung eines stark alkoholisierten Fahrzeuglenkers (mehr als 3 Promille), der bereits früher Alkoholwerte in dieser Grössenordnung aufgewiesen hat, bestehen ernstliche Zweifel. Deshalb darf die Behörde nicht bloss einen Warnungsentzug wegen Fahrens in angetrunkenem Zustand anordnen, sondern muss vielmehr einen Sicherungsentzug ins Auge fassen und im Hinblick darauf ein ärztliches Gutachten zur Frage einer allfälligen Trunksucht einholen (E. 2). Art. 35 Abs. 3 VZV; vorsorglicher Entzug. Auch das Bundesgericht kann einen vorsorglichen Entzug anordnen; ein solcher bildet im Übrigen während eines Sicherungsentszugs-Verfahrens die Regel (E. 3).</w:t>
      </w:r>
    </w:p>
    <w:p>
      <w:r>
        <w:t>Regeste Art. 14 al. 2 let. c LCR, art. 16 al. 1 et al. 3 let. b LCR; retrait d'admonestation pour avoir circulé en étant pris de boisson et retrait de sécurité pour cause d'alcoolisme. Il existe de très sérieux doutes quant à l'aptitude à conduire d'un automobiliste contrôlé avec une alcoolémie considérable (plus de 3g -) et qui, par le passé, a déjà présenté des alcoolémies de cet ordre. Dans ces circonstances, l'autorité ne peut simplement prononcer un retrait d'admonestation pour conduite en état d'ivresse, mais doit envisager un retrait de sécurité et, partant, ordonner une expertise médicale sur une éventuelle dépendance alcoolique (consid. 2). Art. 35 al. 3 OAC; retrait à titre préventif. Le Tribunal fédéral est compétent pour ordonner lui-même un retrait à titre préventif, qui constitue d'ailleurs la règle lorsqu'est pendante une procédure relative à un retrait de sécurité (consid. 3).</w:t>
      </w:r>
    </w:p>
    <w:p>
      <w:r>
        <w:t>Regesto Art. 14 cpv. 2 lett. c LCStr, art. 16 cpv. 1 e cpv. 3 lett. b LCStr.; revoca a scopo di ammonimento per guida in stato di ebrietà e revoca a scopo di sicurezza per il vizio del bere. Esistono dei dubbi molto seri circa l'idoneità a condurre di un automobilista sorpreso con una considerevole alcolemia (superiore a 3g -) quando, in passato, egli ha già presentato nel sangue percentuali di alcool così elevate. In tali circostanze, l'autorità non può limitarsi a pronunciare una revoca a scopo di ammonimento per guida in stato di ebrietà, ma deve anche considerare una revoca a scopo di sicurezza e, pertanto, ordinare una perizia medica su di un eventuale alcolismo. Art. 35 cpv. 3 OAC; revoca a titolo preventivo. Anche il Tribunale federale può ordinare una revoca a titolo preventivo; del resto, essa è la regola laddove penda una procedura relativa a una revoca a scopo di sicurezza.</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OJ) par l'autorité habilitée ( art. 24 al. 5 let . c LCR), le recours est recevable. Il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 Saisi d'un recours d'une autorité fédérale habilitée à intervenir afin d'assurer l'application uniforme du droit fédéral, le Tribunal fédéral peut, sans égard aux règles cantonales sur la reformatio in pejus, modifier la décision attaquée au détriment de l'intimé ( ATF 119 Ib 154 consid. 2b p. 157; ATF 113 Ib 219 consid. 1c p. 222; ATF 102 Ib 282 consid. 2 et 3 p. 286 ss).</w:t>
      </w:r>
    </w:p>
    <w:p>
      <w:r>
        <w:rPr>
          <w:b/>
        </w:rPr>
        <w:t>E. 2</w:t>
      </w:r>
    </w:p>
    <w:p>
      <w:r>
        <w:t>La question litigieuse est de déterminer si, compte tenu de BGE 125 II 396 S. 399 l'ensemble des circonstances du cas d'espèce, un retrait d'admonestation pouvait être prononcé sans égard à un éventuel retrait de sécurité. a) aa) Fondé sur l' art. 16 al. 2 et al.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 Bussy/Rusconi, Code suisse de la circulation routière, Lausanne 1996, n. 2.1 ad art. 16 LCR ). bb) Conformément à l' art. 16 al. 1 LCR , le permis de conduire doit être retiré lorsque l'autorité constate que les conditions légales de sa délivrance ne sont pas ou plus remplies et l' art. 14 al. 2 let . c LCR prévoit que le permis de conduire ne peut être délivré à celui qui s'adonne à la boisson ou à d'autres formes de toxicomanie pouvant diminuer ses aptitudes à conduire. Le retrait fondé sur les art. 14 al. 2 et 16 al. 1 LCR est un retrait de sécurité destiné à protéger la sécurité de la circulation contre les conducteurs incapables ( art. 30 al. 1 OAC ). Un tel retrait, s'il est en particulier ordonné pour cause d'alcoolisme, est prononcé pour une durée indéterminée et assorti d'un délai d'épreuve d'une année au moins ( art. 17 al. 1bis LCR ; art. 33 al. 1 OAC ; ATF 124 II 559 consid. 2a p. 562). Selon la jurisprudence, doit être considéré comme alcoolique celui qui consomme habituellement des quantités d'alcool telles que sa capacité de conduire est diminuée et qu'il est incapable de combattre cette tendance par sa volonté propre ( ATF 124 II 559 consid. 2b p. 562; ATF 104 Ib 46 consid. 3a p. 48). Le recourant se réfère aussi à deux auteurs d'après lesquels il est généralement admis que les conducteurs qui prennent le volant avec une alcoolémie élevée sont susceptibles de présenter des problèmes de dépendance (cf. RENÉ SCHAFFHAUSER, Zur Entwicklung von Recht und Praxis des Sicherungsentzugs von Führerausweisen, in PJA 1/1992 p. 33 s.; EGON STEPHAN, Trunkenheitsdelikte im Verkehr: Welche Massnahmen sind erforderlich ?, in PJA 4/1994, n. 14, p. 453). b) En 1988 et 1994, l'intimé a fait l'objet de deux retraits d'admonestation pour ivresse au volant; l'alcoolémie constatée était respectivement de 3,45 g o/oo et de 2,95 g o/oo. S'agissant des faits d'espèce, l'intimé a circulé avec une alcoolémie de 3,31 g o/oo. Ainsi, par trois fois sur une période de dix ans, l'intimé a été contrôlé avec une alcoolémie considérable, très largement au-dessus de celles BGE 125 II 396 S. 400 que l'on rencontre habituellement. De tels taux d'alcool atteints de manière répétée font déjà songer à une dépendance. Qui plus est, il ressort de la décision attaquée que, selon un rapport de la police cantonale, l'intimé est connu pour consommer régulièrement de l'alcool avec excès. Sur la base de ces faits - qui lient le Tribunal fédéral ( art. 105 al. 2 OJ ) -, il est indéniable que l'intimé, demeuré totalement insensible à deux retraits d'admonestation, présente plus que quiconque le risque de se mettre au volant dans un état le rendant dangereux pour la circulation (cf. ATF 105 Ib 385 consid. 1b p. 387). L'autorité cantonale ne pouvait se contenter de relever que, si l'intimé devait une fois encore circuler en étant pris de boisson, un retrait de sécurité serait en principe prononcé. Au contraire, l'ensemble des circonstances aurait dû l'amener à avoir de très sérieux doutes sur l'aptitude de l'intimé à s'abstenir de consommer de l'alcool avant de conduire et lui imposait d'envisager un retrait de sécurité. Dans cette mesure, elle a violé le droit fédéral. c) Le retrait de sécurité pour cause d'alcoolisme ou d'autres causes de toxicomanie constitue une atteinte profonde à la personnalité du conducteur visé. L'autorité doit donc, avant de prononcer un tel retrait, éclaircir d'office et dans chaque cas la situation de la personne concernée ( ATF 120 Ib 305 consid. 4b p. 309; ATF 104 Ib 46 consid. 3a p. 48). L'examen de l'incidence de la toxicomanie sur le comportement comme conducteur en général ainsi que la détermination de la mesure de la dépendance exigent des connaissances particulières, qui justifient le recours à des spécialistes, donc que soit ordonnée une expertise. Il peut y être renoncé exceptionnellement, par exemple lorsque la toxicomanie est manifeste et particulièrement grave ( ATF 120 Ib 305 consid. 4b p. 309 et les arrêts cités). En l'espèce, il n'est pas nécessaire de définir si l'on se trouve dans un cas suffisamment clair pour prononcer un retrait de sécurité sans qu'une expertise sur la situation de l'intimé n'ait été ordonnée. En effet, le Tribunal fédéral ne peut aller au-delà des conclusions prises ( art. 114 al. 1 OJ ) et les conclusions du recourant tendent à ce que soit ordonné un examen médical de l'intimé en vue d'établir s'il s'adonne à la boisson au sens de l' art. 14 al. 2 let . c LCR. Il convient donc de renvoyer la cause à l'autorité cantonale, à la CMA en l'occurrence (art. 114 al. 2 dernière phrase OJ), à laquelle il incombera de commettre un expert pour déterminer quel est le degré de dépendance de l'intimé à l'égard de l'alcool. En fonction de la réponse donnée, l'autorité cantonale décidera ensuite si un BGE 125 II 396 S. 401 retrait de sécurité s'impose. Dans l'hypothèse où les conditions d'un tel retrait ne seraient pas réunies, celui d'admonestation initialement prononcé sur la base de l' art. 16 al. 3 let. b LCR apparaîtrait alors comme conforme au droit fédéral, étant au demeurant observé que, compte tenu des circonstances, sa durée fixée à dix-huit mois n'a rien d'excessif.</w:t>
      </w:r>
    </w:p>
    <w:p>
      <w:r>
        <w:rPr>
          <w:b/>
        </w:rPr>
        <w:t>E. 3</w:t>
      </w:r>
    </w:p>
    <w:p>
      <w:r>
        <w:t>Le recourant sollicite en outre que, sur la base des art. 94, 113 OJ et 35 al. 3 OAC, le permis de l'intimé soit retiré à titre préventif jusqu'à l'issue de la procédure sur le retrait de sécurité. Il importe peu de définir si la référence par le recourant aux art. 94 et 113 OJ est pertinente ou non. En effet, la mesure requise est expressément prévue par le droit fédéral à l' art. 35 al. 3 OAC , selon lequel le permis de conduire peut être retiré immédiatement, à titre préventif, jusqu'à ce que les motifs d'exclusion aient été élucidés. Dès lors que, dans les limites des conclusions prises, le Tribunal fédéral peut lui-même statuer sur le fond (cf. art. 114 al. 1 et 2 OJ ), rien ne s'oppose à ce qu'il ordonne lui-même, en application du droit fédéral, un retrait à titre préventif. Le retrait ordonné sur la base de l' art. 35 al. 3 OAC est une mesure provisoire destinée à protéger les intérêts menacés jusqu'à l'issue de la procédure principale ( ATF 122 II 359 consid. 1a p. 362). Cette disposition tient compte des intérêts à prendre en considération lors de l'admission des conducteurs au trafic. Eu égard au danger potentiel inhérent à la conduite de véhicules automobiles, le retrait préventif du permis de conduire se justifie déjà lorsqu'il existe des indices laissant apparaître qu'un conducteur représente un risque particulier pour les autres usagers et qu'on peut sérieusement douter de sa capacité à conduire un véhicule automobile. Tel est notamment le cas s'il existe des indices concrets d'une dépendance alcoolique ( ATF 122 II 359 consid. 3a p. 364). En l'espèce, l'existence d'indices concrets d'une dépendance alcoolique ne souffre aucune contestation. Les intérêts de la sécurité du trafic imposent de toute évidence l'octroi de la mesure sollicitée. En matière de retrait de sécurité, la règle est d'ailleurs de retirer immédiatement le permis à titre préventif, quitte à rapporter ensuite cette mesure, s'il s'avère, après expertise, qu'elle n'est pas justifiée (cf. ATF 106 Ib 115 consid. 2b p. 117). Il faut cependant souligner que cette mesure est provisoire et que l'expertise ordonnée doit intervenir dans les meilleurs délais.</w:t>
      </w:r>
    </w:p>
    <w:p>
      <w:r>
        <w:rPr>
          <w:b/>
        </w:rPr>
        <w:t>E. 4</w:t>
      </w:r>
    </w:p>
    <w:p>
      <w:r>
        <w:t>(Suite de frais). BGE 125 II 396 S. 402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