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278</w:t>
      </w:r>
    </w:p>
    <w:p>
      <w:r>
        <w:t>Bundesgericht (BGE), 1999-02-07, DE</w:t>
      </w:r>
    </w:p>
    <w:p>
      <w:r>
        <w:rPr>
          <w:b/>
        </w:rPr>
        <w:t xml:space="preserve">Quelle: </w:t>
      </w:r>
      <w:r>
        <w:t>https://mcp.opencaselaw.ch/entscheid/bge_BGE_125_II_278</w:t>
      </w:r>
    </w:p>
    <w:p>
      <w:r>
        <w:t>FR: ATF 125 II 278</w:t>
      </w:r>
    </w:p>
    <w:p>
      <w:r>
        <w:t>IT: DTF 125 II 278</w:t>
      </w:r>
    </w:p>
    <w:p>
      <w:pPr>
        <w:pStyle w:val="Heading2"/>
      </w:pPr>
      <w:r>
        <w:t>Regeste</w:t>
      </w:r>
    </w:p>
    <w:p>
      <w:r>
        <w:t>Regeste Zonenkonformität von Neubauten zum Zweck der Bearbeitung von Kräutern in der Landwirtschaftszone (Art. 16, 22 und 24 RPG). Wiederholung der Rechtsprechung zur Zonenkonformität in der Landwirtschaftszone nach Art. 16 und 22 RPG. Vorliegend keine Anwendung der in der Volksabstimmung vom 7. Februar 1999 angenommenen Änderung des RPG vom 20. März 1998 (E. 3). Auch bei sachlich zusammenhängenden Baugesuchen muss die Zonenkonformität für jedes Bauvorhaben gegeben sein. Elemente, die im konkreten Fall für die Beurteilung der Zonenkonformität des umstrittenen Betriebsgebäudes von Bedeutung sind (E. 5 und 6). In casu Verneinung der Zonenkonformität eines Betriebsgebäudes, das dazu dient, sowohl die auf dem Gelände der Gärtnerei angebauten als auch die importierten Kräuter konsumentengerecht zu verpacken und zu etikettieren (E. 7).</w:t>
      </w:r>
    </w:p>
    <w:p>
      <w:r>
        <w:t>Regeste Conformité à la zone agricole de constructions nouvelles destinées au conditionnement d' herbes aromatiques (art. 16, 22 et 24 LAT). Rappel de la jurisprudence concernant la conformité de constructions nouvelles à l' affectation de la zone agricole, selon les art. 16 et 22 LAT. En l' espèce, pas d' application de la modification de la LAT, du 20 mars 1998, adoptée en votation populaire le 7 février 1999 (consid. 3). Même en cas de connexité entre plusieurs demandes de permis de construire, la conformité à l' affectation de la zone agricole doit être examinée pour chaque construction. Eléments déterminants pour l' appréciation de la conformité du bâtiment d' exploitation en cause (consid. 5 et 6). Négation de la conformité d' un bâtiment d' exploitation destiné tant à l' emballage et à l' étiquetage d' herbes aromatiques produites sur le terrain de l' entreprise horticole qu' au conditionnement d' herbes importées (consid. 7).</w:t>
      </w:r>
    </w:p>
    <w:p>
      <w:r>
        <w:t>Regesto Conformità alla zona agricola di nuove costruzioni destinate alla lavorazione di erbe aromatiche (art. 16, 22 e 24 LPT). Riassunto della giurisprudenza sulla conformità di nuove costruzioni nella zona agricola giusta gli art. 16 e 22 LPT. In concreto le modifiche del 20 marzo 1998 apportate alla LPT e accettate in votazione popolare il 7 febbraio 1999 non si applicano (consid. 3). Anche in caso di più domande, tra loro materialmente connesse, di rilascio di una licenza edilizia, la conformità alla destinazione della zona deve essere data per ogni progetto di costruzione. Elementi determinanti per la valutazione della conformità dell' edificio alla zona (consid. 5 e 6). La conformità alla destinazione della zona di uno stabilimento destinato all' imballaggio e all' etichettatura sia di erbe aromatiche prodotte presso l' azienda orticola, sia di erbe importate, deve essere negata (consid. 7).</w:t>
      </w:r>
    </w:p>
    <w:p>
      <w:pPr>
        <w:pStyle w:val="Heading2"/>
      </w:pPr>
      <w:r>
        <w:t>Erwägungen</w:t>
      </w:r>
    </w:p>
    <w:p>
      <w:r>
        <w:rPr>
          <w:b/>
        </w:rPr>
        <w:t>E. 3</w:t>
      </w:r>
    </w:p>
    <w:p>
      <w:r>
        <w:t>a) Die Parzelle Kat.Nr. 268.1, auf welcher die umstrittenen Bauten errichtet werden sollen, liegt in der Landwirtschaftszone nach § 36 des Planungs- und Baugesetzes des Kantons Zürich vom 7. September 1975. Da das Zürcher Recht in diesem Zusammenhang nicht weiter geht als das Bundesrecht, bestimmt sich der Zweck und Inhalt der Landwirtschaftszone nach Art. 16 RPG ( BGE 120 Ib 266 E. 2 S. 268, mit Hinweisen). Danach umfassen Landwirtschaftszonen Land, das sich für die landwirtschaftliche Nutzung oder den Gartenbau eignet oder im Gesamtinteresse landwirtschaftlich genutzt werden soll ( Art. 16 Abs. 1 lit. a und b RPG ). Bauten und Anlagen in diesen Gebieten müssen nach Art. 22 Abs. 2 lit. a RPG dem Zweck der Landwirtschaftszone entsprechen. Gebäude sind in der Landwirtschaftszone nach Art. 16 RPG zonenkonform, wenn sie hinsichtlich Standort und Ausgestaltung in einer unmittelbaren funktionellen Beziehung zum Landwirtschafts- bzw. Gartenbaubetrieb stehen und im Hinblick auf die bodenabhängige Nutzung des Landes BGE 125 II 278 S. 281 als unentbehrlich erscheinen. Bei Landwirtschaftsbetrieben stimmt der Begriff der Zonenkonformität im Sinne von Art. 16 Abs. 1 RPG im Wesentlichen mit demjenigen der Standortgebundenheit gemäss Art. 24 Abs. 1 RPG überein. In einer Landwirtschaftszone im Sinne von Art. 16 RPG sind nur solche Gebäude zonenkonform, die in ihrer konkreten Ausgestaltung für eine zweckmässige Bewirtschaftung des Bodens am vorgesehenen Standort objektiv notwendig und nicht überdimensioniert sind. Ausserdem dürfen gegen ihre Errichtung keine überwiegenden öffentlichen Interessen sprechen ( BGE 122 II 160 E. 3a S. 162; vgl. zu Wohnraum in der Landwirtschaftszone BGE 121 II 307 E. 3b S. 310). Das bedeutet für Gebäude in der Landwirtschaftszone insbesondere, dass bei ihrer bestimmungsgemässen Nutzung der Boden als Produktionsfaktor unentbehrlich ist; wo landwirtschaftliche Erzeugnisse bodenunabhängig gewonnen werden, liegt dagegen keine landwirtschaftliche Nutzung im Sinne von Art. 16 RPG vor ( BGE 120 Ib 266 E. 2a S. 268; BGE 117 Ib 270 E. 3a S. 279, 502 E. 4a S. 503, je mit Hinweisen; EJPD/BRP, Erläuterungen zum Bundesgesetz über die Raumplanung, Art. 16 N. 9 und 10). b) In Art. 16 RPG wird ausdrücklich auch der Gartenbau erwähnt. Das ist indessen nicht so zu verstehen, dass diesem neben der traditionellen landwirtschaftlichen Nutzung eine selbständige, privilegierte Bedeutung zukäme. In einer Landwirtschaftszone ist derjenige Gartenbau als zonenkonform anzuerkennen, der in Arbeitsweise und Landbedarf mit der landwirtschaftlichen Nutzung vergleichbar ist und zur Bewirtschaftung freien Landes eine hinreichend enge Beziehung hat. Gemeint sind namentlich Freilandgärtnereien, welche Pflanzen in Treibhausanlagen vorziehen und später in offenes Land versetzen. Betriebe, die überwiegend mit künstlichem Klima unter ständigen, festen Abdeckungen arbeiten, entsprechen nicht dem Zweck der Landwirtschaftszone. Als zonenkonform kann somit nur der überwiegend bodenabhängig produzierende Gartenbau bezeichnet werden. Bodenabhängig ist ein Betrieb, wenn er bei einer gesamthaften Betrachtung seines langfristigen Bewirtschaftungskonzepts und der zu dessen Realisierung eingesetzten Mittel als Freilandbetrieb bezeichnet werden kann ( BGE 120 Ib 266 E. 2a S. 268 f.; BGE 116 Ib 131 E. 3a-d S. 134 ff.; 112 Ib 270 E. 3 S. 273, je mit Hinweisen). c) Der Beschwerdegegner glaubt aus der jüngsten Revision des Raumplanungsgesetzes etwas zu seinen Gunsten ableiten zu können. Zu Unrecht. Zwar wurde in der Volksabstimmung vom BGE 125 II 278 S. 282</w:t>
      </w:r>
    </w:p>
    <w:p>
      <w:r>
        <w:rPr>
          <w:b/>
        </w:rPr>
        <w:t>E. 7</w:t>
      </w:r>
    </w:p>
    <w:p>
      <w:r>
        <w:t>a) Wie dargestellt, beruht die Landwirtschaftszone auf dem Grundsatz der bodenabhängigen Nutzung. Zonenkonform sind in erster Linie Bauten und Anlagen, die für die Produktion landwirtschaftlicher Erzeugnisse erforderlich sind. Zur Gewinnung sind auch die Arbeitsvorgänge und deren bauliche Vorrichtungen zu zählen, die mit der Produktion untrennbar verbunden sind, wie beispielsweise das Ernten, Pflücken, Melken, das Abfüllen von geeigneten Behältern mit den landwirtschaftlichen Erzeugnissen, das Abladen letzterer und deren Abtransport bis zum Ort der nächsten Verarbeitung. Vorliegend kann nicht gesagt werden, dass das grammweise Verpacken der Kräuter in Folienbeutel und Klappschalen zur Produktion im umschriebenen Sinne gehört. Dies ergibt sich schon aus der Tatsache, dass für den Gärtnereibetrieb, der nach eigenem Kundtun des Baugesuchstellers gegenwärtig mehr als 9 ha umfasst, die Rüsterei nur an einem Ort vorgesehen ist. Das bedeutet, dass die Kräuter von überall her, auch von den entferntesten Parzellen bis zur geplanten Rüsterei transportiert werden müssen, bevor sie der umstrittenen Bearbeitung unterzogen werden können. Damit steht fest, dass diese Verarbeitungsstufe, entgegen den Einwendungen des Beschwerdegegners, nicht zwingend auf dem Gelände der Gärtnerei, in unmittelbarer Nähe zum Ernteort stattfinden muss: Wenn die Kräuter schon zur Rüsterei gebracht werden müssen, können sie auch zu einem Ort ausserhalb der Landwirtschaftszone transportiert werden. BGE 125 II 278 S. 286 Diese Sichtweise wird noch dadurch bekräftigt, dass - auch wenn der Kräuterimport mit hohen Verlusten verbunden sein sollte - sogar Kräuter aus anderen Kontinenten auf dem Gelände der Gärtnerei verarbeitet werden. b) Es fragt sich, ob im Interesse einer zweckmässigen Bodenbewirtschaftung auch noch gewisse Verarbeitungs- und Verwertungsvorgänge in der Landwirtschaftszone als zonenkonform betrachtet werden können. In der Rechtsprechung ist der Aspekt der zulässigen Arbeitsstufen in der Landwirtschaftszone bis anhin wenig vertieft worden: In BGE 114 Ib 131 E. 3 S. 133 f. werden unter den Beispielen von Bauten und Anlagen mit dem erforderlichen Bezug zur Bodenbewirtschaftung nur Ställe, Scheunen, Silos und Einstellhallen aufgeführt, also Bauten, die mit der Verarbeitung von landwirtschaftlichen Erzeugnissen grundsätzlich nichts zu tun haben. Im Entscheid vom 7. Mai 1987 i.S. Keel g. Gemeinde Flums liess das Bundesgericht die Frage offen, ob ein Bienenhonig-Schleuderraum erforderlich sei, da dieser ohnehin überdimensioniert war (E. 3c). Im Entscheid vom 9. März 1990 i.S. V. g. Gemeinde Andiast schützte das Bundesgericht die kantonale Praxis, wonach zur Milchverarbeitung und für die allfällige Zubereitung und Einnahme von Mahlzeiten sowie für gelegentliche Übernachtungen zwecks Betreuung der Kühe nur eine zusätzliche Kammer, jedoch kein freistehendes neues Ökonomiegebäude zulässig sei (E. 2c). Im Entscheid vom 16. Dezember 1991 i.S. BRP g. Gemeinde Féchy wurde darauf hingewiesen, dass Kühlräume, Räume zur Vorbereitung und zur Herstellung von Apfelwein oder von Branntwein nicht zonenkonform sind, weil sie nicht in einem unmittelbaren Zusammenhang mit der Bodenbewirtschaftung stehen. In der Lehre werden Bauten und Anlagen zur Verarbeitung und Verwertung von landwirtschaftlichen Erzeugnissen verschiedentlich als zonenkonform bezeichnet. Gefordert wird allerdings, der Verarbeitungs- oder Verwertungsvorgang müsse einen direkten Zusammenhang mit der Bodennutzung durch einen bestimmten Landwirtschaftsbetrieb haben und arbeitstechnisch in enger Verbindung zur Bodenbewirtschaftung stehen (ULRICH ZIMMERLI, Was darf in der Landwirtschaftszone gebaut und umgebaut werden?, in: Blätter für Agrarrecht 25/1991 S. 7 f.; PETER MARKUS KELLER, Neubauten in der Landwirtschaftszone, Diss. Bern 1987, S. 39; ERICH ZIMMERLIN, Baugesetz des Kantons Aargau, 2. Aufl., Aarau 1985, N. 6a zu § 129; ablehnend CHRISTOPH BANDLI, Bauen ausserhalb der BGE 125 II 278 S. 287 Bauzonen, Diss. Bern 1989, S. 179). Gemäss der Doktrin liegt die Grenze dort, wo die Urproduktion als solche nicht mehr im Zentrum steht, sondern die Tierhaltung fast ganz bodenunabhängig betrieben wird, vorwiegend oder fast ausschliesslich mit Pflanzen gehandelt wird oder die Verarbeitung pflanzlicher Produkte eindeutig in den Vordergrund tritt, also der Betrieb industriellen oder gewerblichen Charakter annimmt (LEO SCHÜRMANN, Zulässigkeit von Aufstockungsbetrieben in der Landwirtschaftszone, Rechtsgutachten zuhanden des Bundesamtes für Raumplanung, Bern 1990, S. 3 f.; ZIMMERLIN, a.a.O., N. 6a zu § 129). Das EJPD/BRP lässt Lagerungs- und Verarbeitungsbetriebe der Landwirtschaft in der Landwirtschaftszone nur in beschränktem Mass zu: Solche Betriebe hätten in der Landwirtschaftszone «nicht immer» ihren Platz. Vielmehr würden sie ins Dorf gehören. Als Richtschnur sei dabei die arbeitstechnische Klammer zwischen Bodenbewirtschaftung und Verarbeitung oder Lagerung zu betrachten: Je schwächer diese, desto schwächer auch die Möglichkeit, die entsprechenden Bauwerke als landwirtschaftlichen Regelbau zu behandeln (EJPD/ BRP, a.a.O., Art. 16 N. 21, vgl. auch N. 22). c) Ob die genannte Ausdehnung der zulässigen Nutzungen von Bauten und Anlagen in der Landwirtschaftszone auf gewisse Verarbeitungs- und Verwertungsvorgänge dem Sinn und Zweck von Art. 16 und Art. 22 RPG entspricht, kann offen bleiben. Denn die umschriebene, allemal erforderliche hinreichend enge Beziehung des Betriebsgebäudes zur Bodenbewirtschaftung fehlt im zu beurteilenden Fall. Der grosse Platzbedarf, den das Verpacken der Kräuter auf dem Gelände der Gärtnerei erfordert - auch wenn man zu diesem Zweck nur die Rüsterei und den Kühlraum berücksichtigt, sind es 268 m2 -, stellt entgegen der Meinung des BRP für sich allein keinen massgeblichen Entscheidungsfaktor dar; in dieser Hinsicht genügt, dass das Bauvorhaben im Verhältnis zum geplanten (zonenkonformen) Nutzungszweck nicht überdimensioniert ist. Denn die Landwirtschaftszone wird nicht in erster Linie durch Mass-, sondern durch Nutzungsvorschriften geregelt. Von Bedeutung ist hier vielmehr die fehlende Hilfsfunktion, die arbeitsorganisatorische Eigenständigkeit sowie die hohe Wertschöpfung der umstrittenen Kräuterverarbeitung. Zwischen dem Verpacken der Kräuter und der Bodenproduktion besteht nur ein loser, mittelbarer Zusammenhang. Im Verhältnis zum Anbau und zur Ernte stellt die genannte Arbeitsstufe - ob man das Beschriften BGE 125 II 278 S. 288 hinzuzählt oder nicht - einen wohl gleichwertigen sowie einen arbeitstechnisch davon losgelösten Vorgang dar, der von unterschiedlichen Arbeitskräften durchgeführt werden könnte. Die umstrittene Verarbeitungsstufe nimmt eine wichtige Position in der gesamten Produktionskette ein, da der hohe Marktwert der umgesetzten Kräuter nicht zuletzt darauf zurückzuführen ist, dass die Kräuter in kleinen Portionen konsumentengerecht verpackt und beschriftet werden und frisch auf den Markt kommen. Es kann demgegenüber nicht gesagt werden, die Verlegung dieser Verarbeitungsstufe in ein Siedlungsgebiet verhindere die gleiche Produktqualität, und zwar umso weniger als feststeht, dass die Kräuter bereits nach dem geltenden Betriebskonzept von den verschiedenen angebauten Parzellen bis zum aktuellen Verpackungsort zum Teil über längere Strecken transportiert werden müssen. Der relativ kleine Mehraufwand in zeitlicher und arbeitstechnischer Hinsicht, der durch die Verlängerung des Transportwegs entstünde, vermag hier eine Abweichung vom Grundsatz der Bodenabhängigkeit der Nutzung der Landwirtschaftszone jedenfalls nicht zu rechtfertigen, zumal dieser Mehraufwand nur die angebauten Kräuter, also nur etwa die Hälfte der Gesamtproduktion beträfe. Dabei ist daran zu erinnern, dass rein wirtschaftliche Interessen an einer Baute oder Anlage in der Landwirtschaftszone nicht massgeblich sind ( BGE 121 II 67 E. 3c S. 71, mit Hinweisen). Eine Verlegung der Rüsterei an einen in einer Bau- oder Spezialzone gelegenen Ort ausserhalb der Landwirtschaftszone ist dem Baugesuchsteller im Licht dieser Überlegungen ohne weiteres zuzumuten. Dessen Einwendungen beziehen sich im Übrigen ausschliesslich auf die technische Notwendigkeit, das Verpacken auf dem Gelände der Gärtnerei auszuführen. Dieses Argument vermag aus den genannten Gründen jedoch nicht zu überzeugen. d) Die Rüsterei, welche die Hauptnutzung des Betriebsgebäudes darstellt, ist somit nicht zonenkonform. Ob die sonstigen Räumlichkeiten des Betriebsgebäudes (Büro-, Sanitär- und Aufenthaltsräume) einer zonenkonformen Nutzung dienen, ist nicht zu prüfen: Aufgrund ihrer rein akzessorischen Bedeutung in arbeitsorganisatorischer Hinsicht teilen sie das rechtliche Schicksal der Rüsterei. Unter diesen Umständen erübrigt sich ebenfalls zu prüfen, ob dem Betriebsgebäude überwiegende öffentliche Interessen entgegenstehen. Dieses Bauvorhaben kann somit in seiner jetzigen Ausgestaltung unter Betrachtung des langfristigen Bewirtschaftungskonzepts der Gärtnerei und der zu dessen Realisierung eingesetzten BGE 125 II 278 S. 289 Mittel nicht als Bestandteil eines Freilandbetriebs gelten. Es erfüllt die Anforderungen für Bauten und Anlagen in der Landwirtschaftszone nicht. e) Unter diesen Umständen erübrigt sich zu prüfen, ob die Sachverhaltsfeststellung durch das Verwaltungsgericht rechtmässig war bzw. ob das rechtliche Gehör der Beschwerdeführer verletzt wurde. Ebenso wenig ist zu prüfen, ob und allenfalls in welchem Ausmass die Verarbeitung ausländischer Kräuter im geplanten Betriebsgebäude zonenkonform ist (vgl. oben E. 5c).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