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129</w:t>
      </w:r>
    </w:p>
    <w:p>
      <w:r>
        <w:t>Bundesgericht (BGE), 1999-01-01, DE</w:t>
      </w:r>
    </w:p>
    <w:p>
      <w:r>
        <w:rPr>
          <w:b/>
        </w:rPr>
        <w:t xml:space="preserve">Quelle: </w:t>
      </w:r>
      <w:r>
        <w:t>https://mcp.opencaselaw.ch/entscheid/bge_BGE_125_II_129</w:t>
      </w:r>
    </w:p>
    <w:p>
      <w:r>
        <w:t>FR: ATF 125 II 129</w:t>
      </w:r>
    </w:p>
    <w:p>
      <w:r>
        <w:t>IT: DTF 125 II 129</w:t>
      </w:r>
    </w:p>
    <w:p>
      <w:pPr>
        <w:pStyle w:val="Heading2"/>
      </w:pPr>
      <w:r>
        <w:t>Regeste</w:t>
      </w:r>
    </w:p>
    <w:p>
      <w:r>
        <w:t>Regeste Luftreinhaltung und Lärmschutz bei einem Einkaufszentrum; Parkplatzbewirtschaftung; Immissionen des Kunden- sowie des Anlieferungsverkehrs. Auflagen zur Regelung des Zufahrtsverkehrs (Einsatz von Sicherheitspersonal), zur Warenanlieferung und zur Ausrüstung der Lieferfahrzeuge (E. 5). Beurteilung der Lärmemissionen der Anlieferung nach Anhang 6 LSV (Industrie- und Gewerbelärm) und Massnahmen zu deren Verminderung (E. 6). Die Pflicht zur Erhebung einer Gebühr für die Benützung von Kundenparkplätzen bei einem Einkaufszentrum ist als Betriebsvorschrift gemäss Art. 12 Abs. 1 lit. c USG eine zulässige Massnahme der verschärften Emissionsbegrenzung im Sinne von Art. 11 Abs. 3 USG (E. 7 und 8). Öffentliches Interesse und Verhältnismässigkeit in Bezug auf diese Massnahme (E. 9). Vereinbarkeit mit der Handels- und Gewerbefreiheit (E. 10).</w:t>
      </w:r>
    </w:p>
    <w:p>
      <w:r>
        <w:t>Regeste Protection de l'air et protection contre le bruit lors de la construction d'un centre commercial; exploitation des places de parc; immissions du trafic de la clientèle et du trafic de livraison. Conditions attachées à la réglementation du trafic d'accès (engagement de personnel de sécurité), à la livraison des marchandises et à l'équipement des véhicules de livraison (consid. 5). Évaluation des émissions de bruit liées à la livraison des marchandises selon l'annexe 6 de l'OPB (bruit de l'industrie et des arts et métiers) et mesures prises pour les réduire (consid. 6). L'obligation de percevoir une taxe pour l'utilisation des places de parc destinées aux clients d'un centre commercial constitue, en tant que prescription d'exploitation selon l'art. 12 let. c LPE, une mesure admissible de limitation plus sévère des émissions au sens de l'art. 11 al. 3 LPE (consid. 7 et 8). Intérêt public et proportionnalité en relation avec cette mesure (consid. 9). Compatibilité avec la liberté du commerce et de l'industrie (consid. 10).</w:t>
      </w:r>
    </w:p>
    <w:p>
      <w:r>
        <w:t>Regesto Protezione contro l'inquinamento atmosferico e fonico nell'ambito di un centro commerciale; utilizzazione dei parcheggi; immissioni del traffico dei clienti e dei fornitori. Condizioni inerenti alla regolamentazione del traffico d'accesso (impiego di personale di sicurezza), alla fornitura delle merci e all'equipaggiamento dei veicoli di trasporto (consid. 5). Valutazione delle emissioni foniche legate alla fornitura delle merci secondo l'allegato 6 dell'OIF (rumore dell'industria e delle arti e mestieri) e provvedimenti adottati per ridurle (consid. 6). L'obbligo di prelevare una tassa per l'utilizzazione dei parcheggi dei clienti in un centro commerciale rappresenta, quale prescrizione d'esercizio secondo l'art. 12 cpv. 1 lett. c LPAmb, una misura ammissibile giusta l'art. 11 cpv. 3 LPAmb per limitare più aspramente le emissioni (consid. 7 e 8). Interesse pubblico e proporzionalità in relazione a tale provvedimento (consid. 9). Compatibilità con la libertà di commercio e d'industria (consid. 10).</w:t>
      </w:r>
    </w:p>
    <w:p>
      <w:pPr>
        <w:pStyle w:val="Heading2"/>
      </w:pPr>
      <w:r>
        <w:t>Erwägungen</w:t>
      </w:r>
    </w:p>
    <w:p>
      <w:r>
        <w:rPr>
          <w:b/>
        </w:rPr>
        <w:t>E. 4</w:t>
      </w:r>
    </w:p>
    <w:p>
      <w:r>
        <w:t>Die Nachbarn wenden im Rahmen der Verwaltungsgerichtsbeschwerde ein, das Bauvorhaben verursache übermässige Lärm- und Luftschadstoffimmissionen, weshalb es nicht bewilligt werden könne. Die Bauherrschaft hält demgegenüber die angeordneten Emissionsbeschränkungen für unzulässig. Bei der geplanten Überbauung handelt es sich um eine (neue) Anlage im Sinne von Art. 7 Abs. 7 des Bundesgesetzes über den Umweltschutz vom 7. Oktober 1983 (USG, SR 814.01) , die Einwirkungen in Form von Luftverunreinigungen und Lärm erzeugen wird. Diese sind nach der bundesgerichtlichen Rechtsprechung gesamthaft zu beurteilen, d.h. es sind alle Emissionen zu berücksichtigen, die durch die bestimmungsgemässe Nutzung der Anlage verursacht werden, einschliesslich der von den Bewohnern, Beschäftigten, Besuchern und Kunden verursachten Verkehrsemissionen in der Umgebung der Anlage ( BGE 124 II 272 E. 2a mit Hinweisen). Die Emissionen sind im Rahmen der Vorsorge so weit zu begrenzen, als dies technisch und betrieblich möglich und wirtschaftlich tragbar ist ( Art. 11 Abs. 2 USG , Art. 4 Abs. 1 der Luftreinhalteverordnung vom 16. Dezember 1985 [LRV, SR 814.318.142.1], Art. 7 Abs. 1 der Lärmschutz-Verordnung vom 15. Dezember 1986 [LSV, SR 814.41]). Die Emissionsbegrenzungen werden verschärft, wenn feststeht oder zu erwarten ist, dass die Einwirkungen unter Berücksichtigung der bestehenden Umweltbelastung schädlich oder lästig werden ( Art. 11 Abs. 3 USG , Art. 9 Abs. 4 und Art. 31 ff. LRV ). Wie es sich mit den erforderlichen Emissionsbegrenzungen verhält, wird im Einzelnen in den Erwägungen 6 ff. untersucht. Vorab ist daran zu erinnern, dass das Umweltschutzgesetz nicht ein Verhinderungs-, sondern ein Massnahmengesetz ist ( BGE 116 Ib 159 E. 6b S. 167). Das von den Nachbarn angestrebte Verbot der Anlage kann vorliegend mit Umweltschutzgründen nicht gerechtfertigt werden.</w:t>
      </w:r>
    </w:p>
    <w:p>
      <w:r>
        <w:rPr>
          <w:b/>
        </w:rPr>
        <w:t>E. 5</w:t>
      </w:r>
    </w:p>
    <w:p>
      <w:r>
        <w:t>a) Das Verwaltungsgericht hat die Bau- und Gastgewerbebewilligung des Regierungsstatthalters von Seftigen vom 18. Juli 1996 mit folgenden zusätzlichen Auflagen versehen (die von der Bauherrschaft angefochtenen Teile der Auflagen erscheinen fett): «3.4 Auflagen der kantonalen Behörden: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