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461</w:t>
      </w:r>
    </w:p>
    <w:p>
      <w:r>
        <w:t>Bundesgericht (BGE), 1999-01-01, FR</w:t>
      </w:r>
    </w:p>
    <w:p>
      <w:r>
        <w:rPr>
          <w:b/>
        </w:rPr>
        <w:t xml:space="preserve">Quelle: </w:t>
      </w:r>
      <w:r>
        <w:t>https://mcp.opencaselaw.ch/entscheid/bge_BGE_125_III_461</w:t>
      </w:r>
    </w:p>
    <w:p>
      <w:r>
        <w:t>FR: ATF 125 III 461</w:t>
      </w:r>
    </w:p>
    <w:p>
      <w:r>
        <w:t>IT: DTF 125 III 461</w:t>
      </w:r>
    </w:p>
    <w:p>
      <w:pPr>
        <w:pStyle w:val="Heading2"/>
      </w:pPr>
      <w:r>
        <w:t>Regeste</w:t>
      </w:r>
    </w:p>
    <w:p>
      <w:r>
        <w:t>Regeste Art. 43 ff. OG; Zulässigkeit der Berufung; Krankenversicherung. Fall, in dem sich die obere kantonale Spruchbehörde zur Bestimmung der sachlichen Zuständigkeit auf das Gerichtsorganisationsgesetz des Kantons stützt und vorfrageweise eine Frage des Bundesrechts beantwortet (E. 1). Voraussetzungen, unter denen die Berufung zulässig ist (E. 2).</w:t>
      </w:r>
    </w:p>
    <w:p>
      <w:r>
        <w:t>Regeste Art. 43 ss OJ; recevabilité du recours en réforme, assurance-maladie. Autorité cantonale qui se fonde sur le droit cantonal d'organisation judiciaire pour déterminer sa compétence matérielle et qui, dans ce cadre, se prononce à titre préjudiciel sur une question de droit fédéral (consid. 1). Conditions auxquelles le recours en réforme est recevable (consid. 2).</w:t>
      </w:r>
    </w:p>
    <w:p>
      <w:r>
        <w:t>Regesto Art. 43 segg. OG; ammissibilità di un ricorso per riforma, assicurazione malattie. Autorità cantonale che si fonda sul diritto cantonale relativo all'organizzazione giudiziaria per determinare la propria competenza per materia e che, in questo ambito, si pronuncia a titolo pregiudiziale su una questione di diritto federale (consid. 1). Presupposti per riconoscere l'ammissibilità del ricorso per riforma (consid. 2).</w:t>
      </w:r>
    </w:p>
    <w:p>
      <w:pPr>
        <w:pStyle w:val="Heading2"/>
      </w:pPr>
      <w:r>
        <w:t>Erwägungen</w:t>
      </w:r>
    </w:p>
    <w:p>
      <w:r>
        <w:rPr>
          <w:b/>
        </w:rPr>
        <w:t>E. 1</w:t>
      </w:r>
    </w:p>
    <w:p>
      <w:r>
        <w:t>En l'espèce, la Cour d'appel s'est considérée comme matériellement incompétente pour statuer en seconde instance, dans la mesure où le litige ressortit au droit public. Elle a ensuite relevé que, le recours en appel - dont elle a été saisie conformément aux règles de compétence fonctionnelle - étant dévolutif d'instance, il a fait "disparaître" le jugement attaqué. Constatant par ailleurs l'inapplicabilité de l' art. 75 al. 3 CPC frib. dans le cas particulier, dès lors que le code de procédure civile fribourgeois ne régit que les causes qui compètent aux tribunaux civils ( art. 1 CPC frib.), et son incapacité à trancher au fond en seconde instance une contestation de droit public, elle a finalement déclaré irrecevable l'action du demandeur.</w:t>
      </w:r>
    </w:p>
    <w:p>
      <w:r>
        <w:rPr>
          <w:b/>
        </w:rPr>
        <w:t>E. 2</w:t>
      </w:r>
    </w:p>
    <w:p>
      <w:r>
        <w:t>Le Tribunal fédéral examine d'office et avec un plein pouvoir d'examen la recevabilité des recours qui lui sont soumis ( ATF 124 I 223 consid. 1 p. 224 et l'arrêt cité). Quoiqu'elle ne s'y réfère pas expressément, la Cour d'appel s'est fondée sur le droit cantonal d'organisation judiciaire pour déterminer sa compétence ratione materiae. Dans ce cadre, interprétant le droit fédéral de l'assurance-maladie, elle a dû rechercher si la prétention litigieuse (droit à des indemnités journalières) est soumise à l'ancien droit des assurances complémentaires et, partant, relève du droit public ou si, au contraire elle est régie par le nouveau droit en la matière et ressortit ainsi au droit privé. Ce faisant, elle s'est prononcée à titre préjudiciel sur une question de droit fédéral pour appliquer le droit cantonal de procédure. Or, en principe, l'application du droit fédéral dans les motifs d'un jugement portant sur une question de droit cantonal ne peut pas être l'objet d'un recours en réforme. Il n'en va autrement que si, sur la question déterminante - en l'occurrence la compétence matérielle -, le législateur cantonal devait tenir compte de la loi fédérale ( ATF 115 II 237 consid. 1c p. 241; ATF 102 II 53 consid. 1 p. 54 et la jurisprudence mentionnée; cf. aussi les arrêts non publiés du 20 juillet 1994 dans la cause A. C. contre Tennis-club de C., consid. 2, du 31 janvier 1995 dans la cause Masse en faillite de l'entreprise M. SA contre époux C., consid. 1 et du 28 octobre 1997 dans la cause C. contre S., consid. 3b; POUDRET, Commentaire de la loi fédérale d'organisation judiciaire, vol. II, n. 1.4.1 ad art. 43 et les références citées). Tel n'est pas le cas ici. Dans le domaine de l'assurance-maladie, le droit fédéral n'impose pas aux cantons d'attribuer les contentieux relevant respectivement du droit public et du droit privé à des juridictions distinctes. Il dispose uniquement BGE 125 III 461 S. 464 qu'un "juge", par quoi il faut notamment entendre un tribunal ordinaire (FF 1976 II 894), doit statuer "sur les contestations de droit privé qui s'élèvent entre les institutions d'assurance ou entre celles-ci et les assurés" (art. 47 al. 1 de la loi fédérale du 23 juin 1978 sur la surveillance des assurances/LSA; RS 961.01). Les cantons restent libres dans la désignation de cette autorité. Rien ne s'oppose, en particulier, à ce que le droit cantonal de procédure prévoit une attraction de compétence en faveur du juge des assurances sociales, solution que certains cantons ont du reste choisie, ainsi ceux de Genève (art. 37 ch. 2 de la loi d'application de la loi fédérale sur l'assurance-maladie, du 29 mai 1997 [RS GE J 3 05]) et du Jura (art. 28 al. 1 OiLAMal [RS JU 832.10]); cette autorité sera toutefois tenue d'appliquer les règles minimales de procédure prévues à l' art. 47 al. 2 et 3 LSA (cf. RAYMOND SPIRA, Le contentieux en matière d'assurance-maladie selon le nouveau droit, in RJJ 1996 p. 200; JEAN-BAPTISTE RITTER, Questions relatives aux assurances complémentaires à la LAMal, in Revue suisse d'assurances 1995, p. 213 ss, spéc. p. 213 s). Vu ce qui précède, la voie du recours en réforme n'est pas ouverte contre l'arrêt du Tribunal cantonal fribourgeois. Dans la mesure où, dans un cas analogue, il est entré en matière sur un recours en réforme, l'arrêt publié aux ATF 124 III 44 ne peut plus être suivi.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