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412</w:t>
      </w:r>
    </w:p>
    <w:p>
      <w:r>
        <w:t>Bundesgericht (BGE), 1999-01-01, DE</w:t>
      </w:r>
    </w:p>
    <w:p>
      <w:r>
        <w:rPr>
          <w:b/>
        </w:rPr>
        <w:t xml:space="preserve">Quelle: </w:t>
      </w:r>
      <w:r>
        <w:t>https://mcp.opencaselaw.ch/entscheid/bge_BGE_125_III_412</w:t>
      </w:r>
    </w:p>
    <w:p>
      <w:r>
        <w:t>FR: ATF 125 III 412</w:t>
      </w:r>
    </w:p>
    <w:p>
      <w:r>
        <w:t>IT: DTF 125 III 412</w:t>
      </w:r>
    </w:p>
    <w:p>
      <w:pPr>
        <w:pStyle w:val="Heading2"/>
      </w:pPr>
      <w:r>
        <w:t>Regeste</w:t>
      </w:r>
    </w:p>
    <w:p>
      <w:r>
        <w:t>Regeste Art. 271 BStP, Art. 273 Abs. 1 lit. a BStP. Anträge betreffend Geldforderungen sind in der eidgenössischen Nichtigkeitsbeschwerde in Strafsachen, wie in der Berufung, grundsätzlich zu beziffern (E. 1). Genugtuung (Art. 47, 49 OR). Bemessung der Genugtuung bei Übertragung des HI-Virus durch ungeschützten Sexualkontakt (E. 2).</w:t>
      </w:r>
    </w:p>
    <w:p>
      <w:r>
        <w:t>Regeste Art. 271 PPF et art. 273 al. 1 let. a PPF. En principe, les conclusions relatives aux prétentions civiles doivent être chiffrées dans le pourvoi en nullité comme dans le recours en réforme (consid. 1). Réparation morale (art. 47 et 49 CO). Fixation de la réparation morale en cas de transmission du virus VIH à la suite d'un rapport sexuel non protégé (consid. 2).</w:t>
      </w:r>
    </w:p>
    <w:p>
      <w:r>
        <w:t>Regesto Art. 271 PP e art. 273 cpv. 1 lett. a PP. In linea di principio, le conclusioni relative alle pretese civili devono essere articolate sia nell'ambito del ricorso per cassazione che in quello del ricorso per riforma (consid. 1). Riparazione morale (art. 47 e 49 CO). Determinazione della riparazione morale in caso di trasmissione del virus HIV in seguito a un rapporto sessuale non protetto (consid. 2).</w:t>
      </w:r>
    </w:p>
    <w:p>
      <w:pPr>
        <w:pStyle w:val="Heading2"/>
      </w:pPr>
      <w:r>
        <w:t>Erwägungen</w:t>
      </w:r>
    </w:p>
    <w:p>
      <w:r>
        <w:rPr>
          <w:b/>
        </w:rPr>
        <w:t>E. 1</w:t>
      </w:r>
    </w:p>
    <w:p>
      <w:r>
        <w:t>a) Die Beschwerdeführerinnen beantragten im kantonalen Verfahren, der Beschwerdegegner sei zu verpflichten, Y. Fr. 150'000.-- und Fr. 50'000.-- als Genugtuung zu leisten. Die BGE 125 III 412 S. 414 Vorinstanz hat den Beschwerdegegner zur Zahlung von Fr. 80'000.-- an Y. und von Fr. 20'000.-- an A. verpflichtet. Die Beschwerdeführerinnen stellen in ihrer eidgenössischen Nichtigkeitsbeschwerde den Antrag, der Entscheid des Geschworenengerichts sei aufzuheben und die Sache "zur Neubeurteilung an die Vorinstanz zurückzuweisen." Sie fechten den Entscheid einzig in Bezug auf die Genugtuung an. Sie weisen darauf hin, dass ihnen "Genugtuungssummen in geringerem Umfang als beantragt zugesprochen" worden seien, weshalb sie "durch den angefochtenen Entscheid beschwert" seien. Sie beanstanden, dass die Vorinstanz bei der Bemessung der Genugtuungssummen bestimmte Gesichtspunkte, u.a. die Todesangst, zu Unrecht nicht bzw. nicht ausreichend berücksichtigt habe. Damit machen sie geltend, dass die ihnen von der Vorinstanz zugesprochenen Genugtuungssummen zu niedrig seien. Die Beschwerdeführerinnen haben indessen ihr Rechtsbegehren weder im Beschwerdeantrag noch in der Beschwerdebegründung beziffert. Aus der Nichtigkeitsbeschwerde geht auch nicht implizit hervor, welche Beträge die Beschwerdeführerinnen fordern. b) Das Bundesgericht verlangt in ständiger Praxis bei der Berufung im Sinne von Art. 43 ff. OG die Bezifferung der Geldsumme, zu deren Zahlung die Gegenpartei verpflichtet werden soll. Dies wird aus Art. 55 Abs. 1 lit. b OG abgeleitet, wonach in der Berufungsschrift u.a. genau anzugeben ist, welche Punkte des Entscheides angefochten und welche Abänderungen beantragt werden. Anträge auf Rückweisung der Sache an die Vorinstanz zur neuen Entscheidung oder beispielsweise auf Verpflichtung der Gegenpartei zur Zahlung eines angemessenen Geldbetrags sind grundsätzlich ungenügend und haben das Nichteintreten auf die Berufung zur Folge. Ein blosser Rückweisungsantrag ist nach der Praxis aber dann ausreichend (und auch einzig angebracht), wenn das Bundesgericht, falls es die Rechtsauffassung des Berufungsklägers für begründet erachtet, gar kein Endurteil fällen kann, sondern die Sache zu weiteren Abklärungen an die Vorinstanz zurückweisen muss. In den übrigen Fällen muss eine Geldforderung beziffert werden. Allerdings genügt es, wenn sich aus der Berufungsbegründung, allenfalls in Verbindung mit dem angefochtenen Entscheid, ohne weiteres ergibt, welchen Geldbetrag der Berufungskläger von der Gegenpartei verlangt (s. zum Ganzen BGE 119 II 333 E. 3; BGE 106 II 201 E. 1; BGE 101 II 373 ; Urteil des Bundesgerichts vom 15. August 1991, wiedergegeben in SMI 1993 I 129; MESSMER/IMBODEN, Die eidgenössischen BGE 125 III 412 S. 415 Rechtsmittel in Zivilsachen, Zürich 1992, Ziff. 113; Peter Münch, Berufung und zivilrechtliche Nichtigkeitsbeschwerde, in: Geiser/Münch (Hrsg.), Prozessieren vor Bundesgericht, 2. Aufl. 1998, Rz. 4.84 und 4.85; POUDRET, Commentaire de la loi fédérale d'organisation judiciaire, Art. 55 n. 1.4, mit weiteren Hinweisen). Auch im Rekurs an die Schuldbetreibungs- und Konkurskammer des Bundesgerichts müssen Rechtsbegehren, die auf einen Geldbetrag lauten, beziffert werden, ansonsten auf den Rekurs nicht eingetreten wird ( BGE 121 III 390 E. 1). c) aa) Entsprechendes gilt für die eidgenössische Nichtigkeitsbeschwerde im Zivilpunkt. Denn diese tritt insoweit an die Stelle der Berufung, die gemäss Art. 271 Abs. 1 Satz 2 BStP (SR 312.0) ausgeschlossen ist. Die eidgenössische Nichtigkeitsbeschwerde muss gemäss Art. 273 Abs. 1 lit. a BStP die Angabe, welche Punkte des Entscheides angefochten werden, und die Anträge enthalten. Diese Vorschrift stimmt inhaltlich mit Art. 55 Abs. 1 lit. b OG überein, wonach die Berufungsschrift die genaue Angabe, welche Punkte des Entscheides angefochten und welche Abänderungen beantragt werden, enthalten muss. Da die beiden Vorschriften im Wesentlichen übereinstimmen und da keine Gründe für eine unterschiedliche Regelung zwischen der zivilrechtlichen Berufung und der Nichtigkeitsbeschwerde im Zivilpunkt ("strafrechtliche Berufung") ersichtlich sind, hat in Bezug auf das Erfordernis der Bezifferung des Rechtsbegehrens das Gleiche zu gelten. Zu den Anträgen im Sinne von Art. 273 Abs. 1 lit. a BStP gehört somit bei der eidgenössischen Nichtigkeitsbeschwerde betreffend eine Geldforderung deren Bezifferung. Nur durch die Bezifferung wird der Gegenstand des Verfahrens ausreichend bestimmt. Die Bezifferung ist auch mit Rücksicht auf Art. 277bis Abs. 1 Satz 1 BStP erforderlich, wonach der Kassationshof nicht über die Anträge des Beschwerdeführers hinausgehen darf, und sie ist nicht zuletzt im Hinblick auf die Kosten- und Entschädigungsfolgen geboten. Auch im Verfahren der eidgenössischen Nichtigkeitsbeschwerde betreffend eine Geldforderung kann sich der Beschwerdeführer somit nicht darauf beschränken, bloss mehr zu verlangen, als ihm die Vorinstanz zugesprochen hat, und den Betrag im Übrigen in das Ermessen des Bundesgerichts oder der kantonalen Instanz im neuen Verfahren zu stellen. bb) Das Erfordernis der Bezifferung gilt auch bei Anträgen betreffend Genugtuungsforderungen; unerheblich ist insoweit, dass die Bemessung der Genugtuung bzw. die Gewichtung der hiefür massgeblichen Gesichtspunkte teilweise im sachrichterlichen Ermessen BGE 125 III 412 S. 416 liegt. Die Bezifferung des eine Geldforderung betreffenden Rechtsbegehrens ist auch bei der eidgenössischen Nichtigkeitsbeschwerde von Opfern im Sinne des Opferhilfegesetzes notwendig; die einschlägigen Gesetze (Bundesgesetz vom 4. Oktober 1991 über die Hilfe an Opfer von Straftaten [OHG; SR 312.5], OG, BStP) sehen insoweit für Opfer keine Sonderregelung vor. cc) Dass die Vorschriften betreffend die zivilrechtliche Berufung prinzipiell auch für die eidgenössische Nichtigkeitsbeschwerde sinngemäss gelten, wird im Übrigen hinsichtlich der Anschlussberufung in Art. 271 Abs. 4 BStP ausdrücklich festgelegt und ist in Bezug auf das Erfordernis der Angabe des Streitwerts gemäss Art. 55 Abs. 1 lit. a OG vom Kassationshof schon wiederholt entschieden worden (s. BGE 90 IV 265 E. 1, mit Hinweisen). Entsprechend ist aus Art. 273 Abs. 1 lit. a BStP , so wie nach der ständigen Praxis aus Art. 55 Abs. 1 lit. b OG , das Erfordernis der Bezifferung des eine Geldforderung betreffenden Rechtsbegehrens abzuleiten. Allerdings bestimmt Art. 277quater Abs. 1 BStP , dass der Kassationshof im Zivilpunkt entweder selbst in der Sache entscheidet oder diese zu neuer Entscheidung an die kantonale Behörde zurückweist. Der Kassationshof befindet insoweit nach reinen Zweckmässigkeitsgründen darüber, welche Alternative er wählt (vgl. dazu SCHWERI, Eidgenössische Nichtigkeitsbeschwerde in Strafsachen, N. 772). Somit ist im Verfahren der eidgenössischen Nichtigkeitsbeschwerde im Zivilpunkt, anders als im Verfahren der Berufung, ohne besondere Voraussetzungen stets auch eine Rückweisung an die kantonale Instanz möglich, was sich mit der grundsätzlich kassatorischen Natur der eidgenössischen Nichtigkeitsbeschwerde erklärt. Dies bedeutet jedoch nicht, dass sich der Beschwerdeführer in der eidgenössischen Nichtigkeitsbeschwerde betreffend eine Geldforderung im Allgemeinen und eine Genugtuungsforderung aus einer unter den Anwendungsbereich des Opferhilfegesetzes fallenden Straftat im Besonderen auf einen blossen Rückweisungsantrag beschränken darf. Unerheblich ist ferner, dass bei privatrechtlichen Ansprüchen im Verfahren vor dem Bundesstrafgericht (Art. 210 f. BStP) der Antrag auf Zusprechung einer gerichtlich zu bestimmenden Genugtuungssumme genügt ( BGE 82 IV 158 E. 2); die Rechtsmittelverfahren vor dem Bundesgericht sind auch insoweit nicht mit einem (direkten) Bundesstrafprozess vergleichbar. d) Die Beschwerdeführerinnen beziffern die Genugtuungsforderungen weder ausdrücklich noch implizit. Sie stellen auch nicht das Begehren, dass ihnen Genugtuungssummen in dem von ihnen im BGE 125 III 412 S. 417 kantonalen Verfahren beantragten Umfang (von Fr. 150'000.-- an Y. bzw. von Fr. 50'000.-- an A.) zuzusprechen seien. Bei Stillschweigen kann aber nicht ohne weiteres angenommen werden, dass die Beschwerdeführerinnen wohl nach wie vor diese Summen begehren. Dagegen spricht im Übrigen beispielsweise, dass Y., die im kantonalen Verfahren eine Genugtuungssumme von Fr. 150'000.-- beantragt und eine Genugtuung von Fr. 80'000.-- zugesprochen erhalten hat, einzig geltend macht, die Vorinstanz habe das Kriterium der Todesangst zu Unrecht nicht berücksichtigt. Auf die eidgenössische Nichtigkeitsbeschwerde ist daher mangels der erforderlichen Bezifferung der Rechtsbegehren nicht einzutreten.</w:t>
      </w:r>
    </w:p>
    <w:p>
      <w:r>
        <w:rPr>
          <w:b/>
        </w:rPr>
        <w:t>E. 2</w:t>
      </w:r>
    </w:p>
    <w:p>
      <w:r>
        <w:t>Im Übrigen sind die von den Beschwerdeführerinnen erhobenen Einwände ohnehin nicht begründet. a) Bei Tötung eines Menschen oder Körperverletzung kann der Richter unter Würdigung der besonderen Umstände dem Verletzten oder den Angehörigen des Getöteten eine angemessene Geldsumme als Genugtuung zusprechen ( Art. 47 OR ). Wer in seiner Persönlichkeit widerrechtlich verletzt wird, hat Anspruch auf Leistung einer Geldsumme als Genugtuung, sofern die Schwere der Verletzung es rechtfertigt und diese nicht anders wieder gutgemacht werden kann ( Art. 49 Abs. 1 OR ). Nach der bundesgerichtlichen Rechtsprechung haben die nahen Angehörigen einer körperlich geschädigten Person Anspruch auf Ersatz des deswegen erlittenen seelischen Schadens, wenn dieser aussergewöhnlich ist. Der Ansprecher muss in seiner Persönlichkeit widerrechtlich verletzt und gleich schwer oder schwerer betroffen sein als im Falle der Tötung eines Angehörigen ( BGE 112 II 226 ; BGE 117 II 50 E. 3). Bemessungskriterien sind dabei, wie bei der Bemessung der Genugtuung allgemein, vor allem die Art und Schwere der Verletzung, die Intensität und Dauer der Auswirkungen auf die Persönlichkeit des Betroffenen sowie der Grad des Verschuldens des Schädigers. Die Festlegung der Höhe der Genugtuung beruht auf richterlichem Ermessen. Ob der kantonale Richter sein Ermessen richtig ausgeübt hat, ist eine Rechtsfrage, die das Bundesgericht im Berufungsverfahren bzw. im Verfahren der eidgenössischen Nichtigkeitsbeschwerde frei überprüft. Das Bundesgericht beachtet dabei jedoch praxisgemäss, dass dem Sachrichter ein eigener weiter Spielraum des Ermessens zusteht. Dementsprechend auferlegt es sich bei der Überprüfung Zurückhaltung und schreitet nur ein, wenn der Sachrichter grundlos von den in Lehre und Rechtsprechung ermittelten BGE 125 III 412 S. 418 Bemessungsgrundsätzen abgewichen ist, wenn er Tatsachen berücksichtigt hat, die für den Entscheid im Einzelfall keine Rolle spielen, oder wenn er andererseits Umstände ausser Betracht gelassen hat, die er in seinen Entscheid hätte mit einbeziehen müssen. Es greift ausserdem in Ermessensentscheide ein, wenn sich diese als offensichtlich unbillig bzw. als in stossender Weise ungerecht erweisen ( BGE 125 III 269 E. 2a; BGE 124 IV 13 E. 6c; BGE 123 III 10 E. 4c, je mit Hinweisen). b) aa) Y. wies im vorinstanzlichen Verfahren darauf hin, im Zeitpunkt ihrer Infizierung im Jahre 1992 sei allgemein davon ausgegangen worden, dass eine HIV-Infektion in längstens acht Jahren zum Tode führe. Zwar seien inzwischen die Behandlungsmöglichkeiten verbessert; die Wahrscheinlichkeit, dass eine Infizierung schliesslich zum Tode führe, sei aber weiterhin sehr hoch. Y. erwähnte in diesem Zusammenhang ihre Todesängste. In der Nichtigkeitsbeschwerde beanstandet sie, dass die Vorinstanz die sich aus der HIV-Infektion ergebende Bedrohung mit einem frühen Tod und die damit verbundenen Ängste nicht in die Beurteilung mit einbezogen habe; damit habe die Vorinstanz einen ganz entscheidenden Aspekt bei der Bemessung der Genugtuung ausser Acht gelassen und dadurch Art. 49 OR verletzt. Das subjektive Gefühl, ständig mit dem Damoklesschwert des Todes über sich leben zu müssen, wiege schwerer als die im angefochtenen Urteil insoweit angeführte blosse objektive Unmöglichkeit einer Langzeitprognose. bb) Die Vorinstanz hält u.a. fest, die unheilbare HIV-Infektion zeitige sehr gravierende und dauerhafte Auswirkungen auf die physische und die psychische Gesundheit der infizierten Person. Hinzu komme, dass die absolut unerlässliche medizinische Behandlung den Betroffenen nicht nur zeitlebens an die Infektion erinnere, sondern auch mit sehr unangenehmen Nebenwirkungen verbunden sei. Auch wenn die Medizin optimistisch stimmende Behandlungserfolge habe erzielen können, sei eine Langzeitprognose über den Krankheitsverlauf und die Lebenserwartung nicht möglich, was für die Infizierten ebenfalls sehr belastend sei. Die Vorinstanz hält zudem u.a. fest, dass die HIV-Infektion bei Y. einen gravierenderen Verlauf genommen habe als bei vielen andern Infizierten, u.a. auch beim Beschwerdegegner. Ausserdem falle genugtuungserhöhend ins Gewicht, dass Y. von ihrer HIV-Infektion auch deshalb besonders belastet werde, weil sie sich nicht nur um die eigene Zukunft, sondern als allein erziehende Mutter auch um die Zukunft ihrer im Jahre 1983 geborenen Tochter Sorgen mache. BGE 125 III 412 S. 419 Mit diesen Erwägungen hat die Vorinstanz auch die psychische Belastung berücksichtigt, die aus der Angst von Y. vor einem stets möglichen frühzeitigen Tod infolge der HIV-Infektion resultiert. Die Vorinstanz hat die im angefochtenen Urteil wiedergegebene Darstellung im Plädoyer, dass sich bei Y. infolge von Gefühlen der Hilflosigkeit, Verzweiflung und der Angst vor Leiden und Tod eine schwere reaktive Depression entwickelt habe, die sich über die Jahre chronifiziert habe, mit anderen Formulierungen übernommen. Sie hat im Übrigen auch in ihren Erwägungen, in denen sie die HIV-Infektion als schwere Körperverletzung qualifiziert, festgehalten, dass die infizierte Person selbst während der Kombinationstherapie permanent unter dem Damoklesschwert der Resistenzbildung und des darauf zurückzuführenden Ausbruchs der AIDS-Krankheit stehe und dass die Gewissheit, mit einer zumindest möglicherweise tödlich verlaufenden Krankheit infiziert zu sein, beim Betroffenen zu einer Erschütterung des seelischen Gleichgewichts und in der Regel auch zu einer schweren reaktiven Depression führe. Die Rüge von Y., die Vorinstanz habe die sich aus der HIV-Infektion ergebende Bedrohung mit einem frühen Tod und die damit verbundenen Ängste bei der Bemessung der Genugtuung ausser Acht gelassen, erweist sich somit als unbegründet. cc) Dass die Vorinstanz andere wesentliche Kriterien nicht berücksichtigt und/oder den ihr zustehenden Ermessensspielraum überschritten habe, macht Y. nicht geltend. Die Nichtigkeitsbeschwerde von Y. ist demnach unbegründet. c) aa) A. macht geltend, ihr Leben sei gerade in fünf entscheidenden Jahren der Kindheit und der Jugend, nämlich zwischen ihrem 10. und 15. Lebensjahr, durch den Zustand ihrer Mutter aufs Schwerste überschattet worden, indem sie die grossen gesundheitlichen Probleme und die soziale Isolation ihrer Mutter habe miterleben müssen. Gerade in dieser Lebensphase sei eine unbeschwerte Lebensführung bei gleichzeitigem Gefühl des Beschützt- und Geborgenseins von eminenter Bedeutung. Weder das eine noch das andere sei angesichts des Zustands von Y. möglich gewesen. Die Beeinträchtigung solcher Entfaltungs- und Entwicklungsmöglichkeiten über fünf Jahre hinweg stelle aber eine ganz erhebliche Verletzung der Persönlichkeitsrechte dar. Sie falle bei der Bemessung der Schwere der erlittenen Unbill entscheidend ins Gewicht und sei von der Vorinstanz nicht oder, wenn überhaupt stillschweigend, zu wenig berücksichtigt worden. Zudem habe die Vorinstanz den Umstand nicht gewürdigt, dass A. mit der ständigen Furcht leben BGE 125 III 412 S. 420 müsse, ihre Mutter schon früh zu verlieren. Die Vorinstanz habe somit wesentliche Bemessungskriterien ausser Acht gelassen und dadurch Art. 49 OR verletzt. Im Übrigen unterscheide sich der vorliegende Fall in mehreren Punkten wesentlich vom Sachverhalt, der Gegenstand des von der Vorinstanz zum Vergleich zitierten BGE 117 II 50 ff. gewesen sei. bb) Die Vorinstanz hält fest, es sei ohne weiteres einsichtig, dass die als Folge der massiven gesundheitlichen Konsequenzen der HIV-Infektion stark tangierte Lebensqualität von Y. auch die Lebensführung von A. gravierend beeinflusse. Damit seien die Voraussetzungen des Genugtuungsanspruchs von Angehörigen von körperlich geschädigten Personen erfüllt. In den Erwägungen zur Bemessung der Genugtuung hält die Vorinstanz fest, die sehr gravierenden Folgen der HIV-Infektion von Y., die sich nicht nur in physischen und psychischen Beschwerden, sondern auch in einer zurückgezogenen, isolierten Lebensweise manifestierten, träfen A. in einem besonderen Ausmass, weil Y. ihre einzige familiäre Bezugsperson sei. Auf der andern Seite falle ins Gewicht, dass A. altersbedingt vor dem Einstieg ins Berufsleben stehe, was mit grösserer Selbständigkeit bzw. Unabhängigkeit von ihrer Mutter einher gehe. Gleichwohl würden die Auswirkungen der HIV-Positivität ihrer Mutter für A. auch in Zukunft einen ihre eigene Lebensqualität belastenden Faktor darstellen. Mit diesen Erwägungen hat die Vorinstanz nicht ausdrücklich festgehalten, dass A. gerade in einem für die Entwicklung und Entfaltung wichtigen Lebensabschnitt von fünf Jahren, nämlich zwischen dem 10. und dem 15. Lebensjahr, von den Leiden sowie von der zurückgezogenen, isolierten Lebensweise ihrer Mutter mitbetroffen worden ist. Es gibt indessen keine Anhaltspunkte, die darauf hindeuten, dass die Vorinstanz dies bei der Bemessung der Genugtuung tatsächlich nicht berücksichtigt habe. Der Vorinstanz ist bekannt, wann Y. von ihrer HIV-Infektion Kenntnis erhielt und wie alt A. damals war. Gerade weil A. im massgebenden Zeitraum noch ein Kind bzw. eine Jugendliche war, wurde auch ihre Lebensführung durch die Krankheit ihrer Mutter, der einzigen familiären Bezugsperson, gravierend beeinflusst. Auch der Hinweis der Vorinstanz, dass A. altersbedingt in der Zukunft selbständiger und von ihrer Mutter weniger abhängig sein werde, macht deutlich, dass die Vorinstanz die altersbedingte Unselbständigkeit und Abhängigkeit der A. von der Mutter in der Vergangenheit und die daraus sich ergebende besonders schwerwiegende Mitbetroffenheit bei der Bemessung der Genugtuung berücksichtigt hat. Wenn die Vorinstanz BGE 125 III 412 S. 421 schliesslich festhält, dass A. auch in Zukunft durch die Auswirkungen der Krankheit der Mutter in ihrer eigenen Lebensqualität belastet werde, so weist sie damit offensichtlich auch auf die ständige Furcht von A. vor einem frühzeitigen Verlust der Mutter hin. cc) Die Vorinstanz hat nicht zum Zweck der Begründung der auf Fr. 20'000.-- festgesetzten Genugtuungssumme auf BGE 117 II 50 ff. hingewiesen, sondern lediglich um darzulegen, dass auch die nahen Angehörigen einer körperlich geschädigten Person Anspruch auf Ersatz des deswegen erlittenen seelischen Schadens haben, wenn dieser aussergewöhnlich ist. Der Einwand von A., dass ihr Fall nicht mit dem in BGE 117 II 50 ff. beurteilten vergleichbar sei, geht daher insoweit an der Sache vorbei. Im Übrigen kann die Rüge, dass eine Genugtuung wegen Verletzung der Persönlichkeit gemäss Art. 49 OR zu niedrig bemessen sei, nicht damit begründet werden, dass in einem andern, angeblich weniger schwerwiegenden Fall dieselbe Genugtuungssumme zugesprochen worden sei. Zum einen sind Vergleiche gerade in Fällen der Verletzung der Persönlichkeit infolge Tötung oder Verletzung der körperlichen Integrität eines nahen Angehörigen kaum möglich, und zum andern steht dem Sachrichter bei der Bemessung der Genugtuungssumme in Würdigung der massgebenden Umstände ein weiter Beurteilungsspielraum zu. Demnach ist auch die Nichtigkeitsbeschwerde von A.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