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328</w:t>
      </w:r>
    </w:p>
    <w:p>
      <w:r>
        <w:t>Bundesgericht (BGE), 1999-01-01, FR</w:t>
      </w:r>
    </w:p>
    <w:p>
      <w:r>
        <w:rPr>
          <w:b/>
        </w:rPr>
        <w:t xml:space="preserve">Quelle: </w:t>
      </w:r>
      <w:r>
        <w:t>https://mcp.opencaselaw.ch/entscheid/bge_BGE_125_III_328</w:t>
      </w:r>
    </w:p>
    <w:p>
      <w:r>
        <w:t>FR: ATF 125 III 328</w:t>
      </w:r>
    </w:p>
    <w:p>
      <w:r>
        <w:t>IT: DTF 125 III 328</w:t>
      </w:r>
    </w:p>
    <w:p>
      <w:pPr>
        <w:pStyle w:val="Heading2"/>
      </w:pPr>
      <w:r>
        <w:t>Regeste</w:t>
      </w:r>
    </w:p>
    <w:p>
      <w:r>
        <w:t>Regeste Das Urheberrecht an architektonischen Werken im Verhältnis zum Prinzip der sogenannten «freien Benützung» (Art. 3 Abs. 1 URG und Art. 11 Abs. 1 URG). Bei der Beurteilung der Individualität oder Originalität des Werkes spielt der Freiheitsspielraum des Urhebers eine Rolle (Art. 4b). Definition des Prinzips der sogenannten «freien Benutzung» (E. 4c). Abgrenzung zwischen den tatsächlichen Feststellungen und den Rechtsfragen (E. 4d).</w:t>
      </w:r>
    </w:p>
    <w:p>
      <w:r>
        <w:t>Regeste Droit d'auteur sur des oeuvres architecturales confronté avec le principe dit de la «libre utilisation» (art. 3 al. 1 LDA et art. 11 al. 1 LDA). La liberté de manoeuvre du créateur joue un rôle lorsqu'il s'agit de mesurer l'individualité ou l'originalité de l'oeuvre (consid. 4b). Définition du principe dit de la «libre utilisation» (consid. 4c). Délimitation entre les constatations de fait et les questions de droit (consid. 4d).</w:t>
      </w:r>
    </w:p>
    <w:p>
      <w:r>
        <w:t>Regesto Il diritto d'autore sulle opere architettoniche confrontato con il cosiddetto principio della «libera utilizzazione» (art. 3 cpv. 1 LDA e art. 1 cpv. 1 LDA). La libertà di manovra dell'autore gioca un ruolo quando si tratta di misurare l'individualità o l'originalità dell'opera (consid. 4b). Definizione del cosiddetto principio della «libera utilizzazione» (consid. 4c). Distinzione fra accertamenti di fatto e questioni di diritto (consid. 4d).</w:t>
      </w:r>
    </w:p>
    <w:p>
      <w:pPr>
        <w:pStyle w:val="Heading2"/>
      </w:pPr>
      <w:r>
        <w:t>Erwägungen</w:t>
      </w:r>
    </w:p>
    <w:p>
      <w:r>
        <w:rPr>
          <w:b/>
        </w:rPr>
        <w:t>E. 4</w:t>
      </w:r>
    </w:p>
    <w:p>
      <w:r>
        <w:t>b) Les oeuvres ayant un contenu scientifique ou technique bénéficient de la protection du droit d'auteur, de même que les oeuvres d'architecture ( art. 2 al. 2 let . d et e de la loi fédérale sur le BGE 125 III 328 S. 331 droit d'auteur et les droits voisins [LDA; RS 231.1]). Les plans et les maquettes qui constituent l'expression d'une oeuvre architecturale protégée sous une forme graphique jouissent de la protection du droit d'auteur, indépendamment du fait que la construction ait été réalisée ou non (IVAN CHERPILLOD/FRANÇOIS DESSEMONTET, Les droits d'auteur, in: Le droit de l'architecte, 3e éd., n. 1351 p. 414; KAMEN TROLLER, Manuel du droit suisse des biens immatériels, tome I, 2e éd., n. 2.5 p. 282; MARTIN J. LUTZ, Das Urheberrecht des Architekten, in: Baurechtstagung 1995, vol. 2, p. 32/33). Selon la jurisprudence ( ATF 120 II 65 consid. 6a), le caractère d'oeuvre protégeable peut s'attacher à un groupe de bâtiments qui constituent une unité d'un point de vue fonctionnel, esthétique ou urbanistique. Le droit d'auteur protège l'expression concrète de l'oeuvre, qui ne contient pas uniquement des éléments relevant du domaine public mais qui dans son ensemble apparaît comme le résultat d'une création intellectuelle à caractère personnel ou l'expression d'une nouvelle idée originale. L'individualité ou l'originalité caractérisent l'oeuvre protégée en droit d'auteur. Il ne convient pas de mesurer l'individualité ou l'originalité de chaque création à la même aune; au contraire, la liberté de manoeuvre du créateur doit entrer en ligne de compte. Lorsque cette liberté est restreinte, une activité indépendante réduite suffira à fonder la protection; il en va notamment ainsi pour les oeuvres d'architecture en raison de leur usage pratique et des contraintes techniques qu'elles doivent respecter (cf. également DENIS BARRELET/WILLI EGLOFF, Le nouveau droit d'auteur, Commentaire de la loi fédérale sur le droit d'auteur et les droits voisins, n. 8 ad art. 2 LDA , p. 10).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n'y a pas place pour une création individuelle dans les circonstances de l'espèce. c) Il est incontestable que les plans déposés par le demandeur le 9 août 1993, qui ont permis aux maîtres d'obtenir l'autorisation préalable de construire, constituent une oeuvre protégée au sens de l' art. 2 LDA . Il en découle trois cas de figure. Si le défendeur Niederhauser, lequel a repris le mandat d'architecte qui avait été confié au recourant en mars 1992, a simplement réutilisé ou recopié les plans du demandeur pour élaborer son projet BGE 125 III 328 S. 332 d'octobre 1998, il a transgressé l' art. 10 LDA et doit répondre d'un plagiat, à l'instar des autres défendeurs ( art. 50 al. 1 CO ). Si l'architecte précité, sur la base du projet du demandeur, a créé, par des modifications sur le plan qualitatif, une oeuvre nouvelle à travers laquelle transparaît néanmoins l'oeuvre première, il a alors conçu une oeuvre dérivée (dite aussi oeuvre de seconde main) telle que l'entend l' art. 3 LDA (cf. sur cette notion: BARRELET/EGLOFF, op.cit., n. 1 ss ad art. 3 LDA , p. 18/19; KAMEN TROLLER, Manuel du droit suisse des biens immatériels, op.cit., tome I, n. 3.4, p. 258; ROLAND VON BÜREN, Der Werkbegriff, in: Schweizerisches Immaterialgüter- und Wettbewerbsrecht, vol. II/1, n. 4.1, p. 119 s). Or l'auteur a le droit à l'intégrité de l'oeuvre, autrement dit le droit exclusif de décider si, quand et de quelle manière l'oeuvre peut être modifiée, par exemple pour créer une oeuvre dérivée ( art. 11 al. 1 let. b LDA ). Partant, l'architecte Niederhauser, faute d'avoir obtenu l'accord du demandeur, titulaire des droits sur l'oeuvre première, aurait dans cette hypothèse également violé le droit d'auteur du recourant (cf. art. 3 al. 4 LDA ), en concours avec les intimés nos 2 à 7. Si l'architecte intimé s'est contenté de s'inspirer du projet créé par le demandeur et que ses emprunts à l'oeuvre préexistante sont si modestes qu'ils s'effacent devant l'individualité de sa nouvelle oeuvre, c'est-à-dire si les éléments individuels de l'oeuvre du demandeur qui ont été repris passent à l'arrière-plan de la création dudit défendeur, il y a alors «libre utilisation» (freie Benutzung), laquelle ne porte pas atteinte aux droits d'utilisation de l'oeuvre préexistante (BARRELET/EGLOFF, op.cit., n. 5 ad art. 3 LDA , p. 19, et n. 12 ad art. 11 LDA , p. 59/60; CHERPILLOD/DESSEMONTET, op.cit., n. 1343, p. 411; KAMEN TROLLER, op.cit., tome I, n. 3.4.1, p. 259; IVAN CHERPILLOD, Schranken des Urheberrechts, in: Schweizerisches Immaterialgüter- und Wettbewerbsrecht, vol. II/1, no 11, p. 277 ss; ROLAND VON BÜREN, op.cit., n. 4.2, p. 121 s; ANNE-VIRGINIE GAIDE, La protection des personnages fictifs par le droit d'auteur, thèse Lausanne 1998, p. 195 ss; contra: FRANÇOIS DESSEMONTET, Inhalt des Urheberrechts, in: Schweizerisches Immaterialgüter- und Wettbewerbsrecht, vol. II/1, n. 4.3 p. 197 ss, spéc. p. 199; ancien droit: cf. ATF 85 II 120 consid. 8 p. 129 qui déclarait la «libre utilisation» un principe non écrit du droit suisse). Le notion de «libre utilisation» doit cependant être interprétée restrictivement (IVAN CHERPILLOD, Schranken des Urheberrechts, ibidem, spéc. p. 279). d) aa) Relève du fait la question de savoir comment une oeuvre se différencie d'une autre création. C'est en revanche une question de BGE 125 III 328 S. 333 droit que de juger si la notion juridique de l'oeuvre a été correctement appliquée et de dire si, au vu des faits retenus, une nouvelle oeuvre a été créée ( ATF 100 II 167 consid. 4; ATF 56 II 413 consid. 2 p. 418; CHERPILLOD/DESSEMONTET, op.cit., n. 1348, p. 413). bb) En l'espèce, il résulte de l'état de fait souverain ( art. 63 al. 2 OJ ) que les concordances entre le projet du demandeur et celui de l'architecte intimé se résument dans l'implantation de villas (25 au maximum selon les plans du recourant, 24 selon le plan déposé le 31 octobre 1998) dans trois corps de bâtiments. Ainsi, quand bien même la disposition des immeubles était imposée par la pente de la colline au pied de laquelle il était prévu de les construire, ce qui signifiait que l'architecte avait une marge de manoeuvre réduite, leur emplacement n'est plus le même dans le projet de l'architecte Niederhauser. Le premier projet se caractérisait notamment par le fait que chaque villa mitoyenne disposait d'une loggia et était dotée d'un toit plat accessible et recouvert de gazon. Or, selon les plans de l'intimé en cause, chaque villa dispose d'un jardinet et d'une toiture, certes toujours plate, mais recouverte de gravier et rendue inaccessible. Enfin, si dans le projet initial, les façades devaient refléter la spatialité interne des villas et les qualités du site, celles conçues dans le projet d'octobre 1998 ont perdu ces particularités. Il suit de là que si Niederhauser s'est inspiré des plans du demandeur, il les a modifiés de manière substantielle au point que les traits empruntés de l'oeuvre utilisée (trois groupes de bâtiments à toit plat) - dont l'individualité est au reste faible - ont passé entièrement à l'arrière-plan de sa propre création. Il convient donc d'admettre que l'architecte défendeur a utilisé librement l'oeuvre du demandeur, sans violer le droit d'auteur de ce dernier. Quoi qu'en pense le recourant, les constatations de l'arrêt entrepris étaient donc suffisantes pour examiner le grief susmentionné, de sorte qu'un renvoi à l'autorité cantonale au sens de l' art. 64 al. 1 OJ ne saurait entrer en considération. Le moyen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