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312</w:t>
      </w:r>
    </w:p>
    <w:p>
      <w:r>
        <w:t>Bundesgericht (BGE), 1999-01-01, DE</w:t>
      </w:r>
    </w:p>
    <w:p>
      <w:r>
        <w:rPr>
          <w:b/>
        </w:rPr>
        <w:t xml:space="preserve">Quelle: </w:t>
      </w:r>
      <w:r>
        <w:t>https://mcp.opencaselaw.ch/entscheid/bge_BGE_125_III_312</w:t>
      </w:r>
    </w:p>
    <w:p>
      <w:r>
        <w:t>FR: ATF 125 III 312</w:t>
      </w:r>
    </w:p>
    <w:p>
      <w:r>
        <w:t>IT: DTF 125 III 312</w:t>
      </w:r>
    </w:p>
    <w:p>
      <w:pPr>
        <w:pStyle w:val="Heading2"/>
      </w:pPr>
      <w:r>
        <w:t>Regeste</w:t>
      </w:r>
    </w:p>
    <w:p>
      <w:r>
        <w:t>Regeste Art. 42 OR. Kapitalisierter Schadenersatz für künftigen Erwerbsausfall; Kapitalisierungszinsfuss. Entwicklung der Rechtsprechung zum Kapitalisierungszinsfuss (E. 2). Stellungnahmen in der Lehre (E. 3). Wirtschaftliches Umfeld (E. 4). Massgeblichkeit des durchschnittlichen Realertrags (E. 5). Zumutbare Anlagen (E. 6). Festhalten am Zinsfuss von 3,5% (Bestätigung der Rechtsprechung) (E. 7).</w:t>
      </w:r>
    </w:p>
    <w:p>
      <w:r>
        <w:t>Regeste Art. 42 CO; capitalisation des dommages-intérêts pour la perte de gain future; taux de capitalisation. Évolution de la jurisprudence relative au taux de capitalisation (consid. 2). Prises de position au sein de la doctrine (consid. 3). Contexte économique (consid. 4). Caractère déterminant du revenu réel moyen (consid. 5). Placements raisonnablement exigibles (consid. 6). Maintien du taux de capitalisation de 3,5% (confirmation de la jurisprudence) (consid. 7).</w:t>
      </w:r>
    </w:p>
    <w:p>
      <w:r>
        <w:t>Regesto Art. 42 CO. Capitalizzazione del risarcimento del danno per la perdita di guadagno futura; tasso di capitalizzazione. Evoluzione della giurisprudenza in merito al tasso di capitalizzazione (consid. 2). Prese di posizione in dottrina (consid. 3). Contesto economico (consid. 4). Rilevanza del reddito reale medio (consid. 5). Investimenti ragionevolmente esigibili (consid. 6). Mantenimento del tasso di capitalizzazione del 3,5% (conferma della giurisprudenza) (consid. 7).</w:t>
      </w:r>
    </w:p>
    <w:p>
      <w:pPr>
        <w:pStyle w:val="Heading2"/>
      </w:pPr>
      <w:r>
        <w:t>Volltext</w:t>
      </w:r>
    </w:p>
    <w:p>
      <w:r>
        <w:t>Bundesgericht (BGE) Band III 1999 BGE 125 III 312 Tribunal fédéral (ATF) Volume III 1999 BGE 125 III 312 Tribunale federale (DTF) Volume III 1999 BGE 125 III 312</w:t>
      </w:r>
    </w:p>
    <w:p>
      <w:r>
        <w:t>Regeste Art. 42 OR. Kapitalisierter Schadenersatz für künftigen Erwerbsausfall; Kapitalisierungszinsfuss. Entwicklung der Rechtsprechung zum Kapitalisierungszinsfuss (E. 2). Stellungnahmen in der Lehre (E. 3). Wirtschaftliches Umfeld (E. 4). Massgeblichkeit des durchschnittlichen Realertrags (E. 5). Zumutbare Anlagen (E. 6). Festhalten am Zinsfuss von 3,5% (Bestätigung der Rechtsprechung) (E. 7). Regeste Art. 42 CO; capitalisation des dommages-intérêts pour la perte de gain future; taux de capitalisation. Évolution de la jurisprudence relative au taux de capitalisation (consid. 2). Prises de position au sein de la doctrine (consid. 3). Contexte économique (consid. 4). Caractère déterminant du revenu réel moyen (consid. 5). Placements raisonnablement exigibles (consid. 6). Maintien du taux de capitalisation de 3,5% (confirmation de la jurisprudence) (consid. 7). Regesto Art. 42 CO. Capitalizzazione del risarcimento del danno per la perdita di guadagno futura; tasso di capitalizzazione. Evoluzione della giurisprudenza in merito al tasso di capitalizzazione (consid. 2). Prese di posizione in dottrina (consid. 3). Contesto economico (consid. 4). Rilevanza del reddito reale medio (consid. 5). Investimenti ragionevolmente esigibili (consid. 6). Mantenimento del tasso di capitalizzazione del 3,5% (conferma della giurisprudenza) (consid. 7).</w:t>
      </w:r>
    </w:p>
    <w:p>
      <w:r>
        <w:t>Urteilskopf 125 III 312 54. Auszug aus dem Urteil der I. Zivilabteilung vom 11. Mai 1999 i.S. Beretta gegen Zürich Versicherungs-Gesellschaft (Berufung) Regeste Art. 42 OR . Kapitalisierter Schadenersatz für künftigen Erwerbsausfall; Kapitalisierungszinsfuss. Entwicklung der Rechtsprechung zum Kapitalisierungszinsfuss (E. 2). Stellungnahmen in der Lehre (E. 3). Wirtschaftliches Umfeld (E. 4). Massgeblichkeit des durchschnittlichen Realertrags (E. 5). Zumutbare Anlagen (E. 6). Festhalten am Zinsfuss von 3,5% (Bestätigung der Rechtsprechung) (E. 7). Erwägungen ab Seite 313 BGE 125 III 312 S. 313 Aus den Erwägungen: 1. Im vorliegenden Berufungsverfahren ist einzig noch die Frage streitig, mit welchem Zinssatz der Schaden aus dem künftigen Verdienstausfall des Klägers zu kapitalisieren ist; in allen übrigen Punkten ist das Urteil des Kantonsgerichts unangefochten geblieben. Die Vorinstanz hat auf den Kapitalisierungszinsfuss von 3,5% abgestellt, den das Bundesgericht seit 1946 in konstanter Praxis anwendet. Der Kläger strebt eine Änderung der Rechtsprechung an. Er schlägt vor, den Kapitalisierungszinsfuss auf 1,5%, eventuell auf 2%, subeventuell auf 2,5% zu senken. Die Beklagte steht demgegenüber auf dem Standpunkt, der Satz von 3,5% sei nach wie vor angemessen, weshalb sich eine Praxisänderung nicht rechtfertige. 2. Die bundesgerichtliche Rechtsprechung zur Kapitalisierung von künftigem Erwerbsausfall reicht weit zurück. Im ausgehenden 19. und beginnenden 20. Jahrhundert berechnete das Bundesgericht den kapitalisierten Schadenersatz unter Anwendung eines Zinssatzes von 3,5% nach den Barwerttafeln, die Charles Soldan im Jahre 1895 vorgelegt hatte (La responsabilité des fabricants et autres chefs d'exploitations industrielles, Lausanne 1895, S. 87 ff., Anhänge II-IV, insbesondere Anhang III: «Table suisse de mortalité pour le sexe masculin»). Vom so ermittelten Betrag nahm es allerdings mit Rücksicht auf die Vorteile, welche die Kapitalabfindung für den Geschädigten hat, im Allgemeinen einen Abzug vor, den es im Regelfall auf 20%, zuweilen aber auch etwas höher oder niedriger ansetzte (vgl. BGE 25 II 105 E. 3 S. 112 ff.; BGE 31 II 405 E. 3 S. 410; BGE 31 II 623 E. 6 S. 630 ff.). In den Jahren 1917 und 1918 erschienen die Barwerttafeln von PAUL PICCARD (Haftpflichtpraxis und Soziale Unfallversicherung, Zürich 1917, S. 146 ff.; Barwerttafeln zur Kapitalisierung von Unfall- und anderen Renten, Bern 1918, S. 9 ff.). Sie enthielten die Zahlen für die Kapitalisierung von auf Mortalität gestellten Annuitäten mit Zinssätzen von 3,5%, 4%, 4,5% oder 5%. Unter Hinweis auf die Ausführungen PICCARDS (a.a.O., Haftpflichtpraxis, S. 124 ff.) entschied sich das Bundesgericht im Jahre 1919 für einen Kapitalisierungszinsfuss von 4,5% ( BGE 45 II 215 ff.). Im Gegenzug gab es die Praxis pauschaler Abzüge für die Vorteile der Kapitalabfindung auf ( BGE 46 II 50 S. 53; vgl. auch BGE 50 II 190 E. 3 S. 195). In einem Urteil aus dem Jahre 1927 schloss es allerdings angesichts der damaligen Geldmarktverhältnisse solche Abzüge auch bei mit 4,5% kapitalisierten Abfindungen nicht mehr zum Vornherein aus ( BGE 53 II 50 E. 4 S. 53). In der Folge nahm es vereinzelt wiederum Kürzungen von 10% vor ( BGE 54 II 294 E. 4 S. 300, BGE 125 III 312 S. 314 367 E. 4a S. 371); in anderen Fällen verzichtete es weiterhin darauf ( BGE 53 II 419 E. 3d S. 429; BGE 56 II 116 E. 5 S. 126). Anfangs der dreissiger Jahre senkte das Bundesgericht den Kapitalisierungszinsfuss auf 4% (PICCARD, A propos du taux de capitalisation, SJZ 29/1932/1933, S. 329 ff., insbes. 331 f.; vgl. auch BGE 60 II 38 E. 4 S. 48). Zu einer weiteren Senkung des Zinssatzes auf 3,5% oder 3% vermochte es sich 1939 noch nicht zu entschliessen ( BGE 65 II 250 E. 3b S. 256 f.). Im Jahre 1946 kehrte es zum ursprünglichen Kapitalisierungszinsfuss von 3,5% zurück ( BGE 72 II 132 E. 4c S. 134), an dem es seither in ständiger Rechtsprechung festhält. Deren Änderung lehnte es mehrfach ab (so in BGE 96 II 446 f., in BGE 113 II 323 E. 3a S. 332 und in BGE 117 II 609 E. 12b/bb S. 628 f.; siehe auch JdT 1958 I 450 Nr. 73). In einem amtlich nicht publizierten Urteil vom 13. Dezember 1994 (Pra 84/1995, Nr. 172 S. 548 ff.; JdT 1996 I 728) verwarf es die in der Urteilsberatung vorgeschlagene Senkung des Zinssatzes auf 2,5%, zumal sie sich angesichts des Alters der Geschädigten auf die Höhe des Gesamtschadens nicht wesentlich ausgewirkt hätte, so dass sich im zu beurteilenden Fall eine Praxisänderung nicht aufdrängte (vgl. ZBJV 131/1995, S. 39 ff.). 3. Ein Teil der Lehre beanstandet den Kapitalisierungszinsfuss von 3,5% seit längerer Zeit als zu hoch (PETER STEIN, Die zutreffende Rententafel, SJZ 67/1971, S. 50 f.; derselbe, Die massgebende Rententafel, Juristische Schriften des TCS Nr. 8, Genf 1989, S. 26 ff.; PIERRE GIOVANNONI, Les nouvelles tables de capitalisation de STAUFFER/SCHAETZLE, Revue jurassienne de jurisprudence 1/1991, S. 7 f.; vgl. auch OFTINGER, Schweizerisches Haftpflichtrecht, Bd. I, 4. Aufl. 1975, S. 223 ff.). Andere Autoren begrüssen demgegenüber die konstante bundesgerichtliche Praxis und treten namentlich mit Rücksicht auf die Rechtssicherheit für ein Festhalten am Kapitalisierungszinsfuss von 3,5% ein (PAUL SZÖLLÖSY, Der Richter und die Teuerung: Die ausservertragliche Schadenersatzpraxis, ZBJV 112/1976, S. 33 ff., insbes. 35 f.; STAUFFER/SCHAETZLE, Barwerttafeln, 4. Aufl. 1989, S. 327 f. Rz. 1132 ff.; OFTINGER/STARK, Schweizerisches Haftpflichtrecht, Bd. I, 5. Aufl. 1995, S. 298 Rz. 150). Seit Bekanntwerden der Urteilsberatung vom 13. Dezember 1994 (ZBJV 131/1995, S. 39 ff.; dazu auch MARC SCHAETZLE, Neuer Kapitalisierungszinsfuss im Haftpflichtrecht?, ZBJV 131/1995, S. 520 ff.) sind zahlreiche weitere Stellungnahmen veröffentlicht worden. Die Meinungen bleiben weiterhin geteilt. Ein allgemeiner Konsens über den «richtigen» Kapitalisierungszinsfuss vermochte sich nicht herauszubilden. Während verschiedene Autoren sich gegen eine Änderung BGE 125 III 312 S. 315 des Zinssatzes von 3,5% stellen (ALFRED KELLER, Haftpflicht im Privatrecht, Bd. II, 2. Aufl. 1998, S. 45 f.; BREHM, Berner Kommentar, 2. Aufl. 1998, N. 61 vor Art. 45 OR ; FELIX HUNZIKER, Zur erneuten Diskussion um den Kapitalisierungszinsfuss im Haftpflichtrecht, ZBJV 131/1995, S. 872 ff.; LUKAS WYSS, Gedanken zum Kapitalisierungszinsfuss bei Invaliditäts- und Versorgerschäden, AJP 1997, S. 848 ff.), schlagen Stephan Weber und Marc Schaetzle auf der Grundlage eines wirtschaftswissenschaftlichen Gutachtens von CHRISTOPH AUCKENTHALER und Andreas Zimmermann (veröffentlicht in AJP 1997, S. 1129 ff.) ein umfassendes neues Berechnungsmodell vor, in dessen Rahmen sie die Senkung des Kapitalisierungszinsfusses auf 2,5% postulieren (WEBER/SCHAETZLE, Von Einkommensstatistiken zum Kapitalisierungszinsfuss oder warum jüngere Geschädigte zu wenig Schadenersatz erhalten und ältere zu viel, AJP 1997, S. 1115 ff.; SCHAETZLE/WEBER, Barwerttafeln, Neue Rechnungsgrundlagen für den Personenschaden, in: Tercier (Hrsg.), Kapitalisierung - Neue Wege, Freiburg 1998, S. 81 ff. und 93 ff.). Dieser Vorschlag hat wiederum verschiedene kritische Reaktionen ausgelöst (LUKAS WYSS, Und nochmals Bemerkungen zur Berechnung von Invaliditäts- und Versorgerschäden, AJP 1998, S. 188 ff.; GUY CHAPPUIS, Les tables de capitalisation, Le calcul des dommages corporels en évolution, in: Kapitalisierung - Neue Wege, vgt., S. 164 f.; BREHM, a.a.O., N. 62 vor Art. 45). 4. Die Kapitalisierung von künftigem Erwerbsausfall beruht zwangsläufig auf Hypothesen über Entwicklungen, die in der Zukunft liegen. Zu diesen Entwicklungen gehören die künftige Teuerung und die künftigen Kapitalerträge. Für die Frage des angemessenen Kapitalisierungszinsfusses sind demnach nicht nur rechtliche, sondern auch wirtschaftliche Gesichtspunkte von Bedeutung. Um sich näheren Aufschluss über das wirtschaftliche Umfeld, insbesondere über Erfahrungswerte zur vergangenen und begründbare Prognosen zur künftig zu erwartenden Teuerungs- und Kapitalertragsentwicklung zu verschaffen, hat die I. Zivilabteilung eine Reihe von Experten befragt. Im Rahmen dieser Befragung haben sich die folgenden Personen und Institutionen geäussert: die Herren Professoren Heinz Müller und Alex Keel (Universität St. Gallen), Baptiste Rusconi (Universität Lausanne) und Gaston Gaudard (Universität Freiburg), das Bundesamt für Sozialversicherung, das Bundesamt für Privatversicherungswesen, die Schweizerische Nationalbank und der Schweizerische Versicherungsverband. Den verschiedenen Stellungnahmen und Äusserungen lässt sich Folgendes entnehmen: BGE 125 III 312 S. 316 a) In Bezug auf die Teuerung rechnen die Experten allgemein damit, dass die in den letzten Jahren eingetretene Beruhigung weiter anhalten wird, sofern nicht unvorhergesehene Ereignisse neue Teuerungsschübe auslösen. Dabei sind sich die Experten einig, dass der amtliche Index die effektive Teuerung eher überschätzt. Diese Überbewertung der Teuerung beziffert ein vom Bundesamt für Statistik in Auftrag gegebenes Gutachten auf rund 0,5 bis 0,6 Indexpunkte im Jahr. Zur Zeit befindet sich der Landesindex der Konsumentenpreise in Revision. Ab Anfang des Jahres 2000 soll ein neuer Index zur Anwendung kommen, der die tatsächliche Teuerung genauer wiedergeben soll. b) Die künftige Zinsentwicklung hängt stark davon ab, ob und wieweit die Schweiz ihre Landeswährung an die europäische Einheitswährung anlehnen wird. Da darüber noch keine Klarheit besteht, ist es gerade im heutigen Zeitpunkt besonders schwierig, verlässliche Prognosen zur Zinsentwicklung zu stellen. Nach verbreiteter Ansicht würden sich bei einer Andockung des Schweizer Frankens an den Euro die Zinsen dem europäischen Niveau angleichen und mutmasslich um rund 2% steigen, wobei jedoch gleichzeitig auch die Teuerung eher zunehmen würde. In diesem Zusammenhang weisen die Experten darauf hin, dass die Realzinsen in den Ländern der Europäischen Union eher höher liegen als in der Schweiz. c) Zu den Erträgen verschiedener Kapitalanlagen nennen die Experten unterschiedliche Zahlen. Nach dem Gutachten Müller/Keel beträgt der - aufgrund der Daten der Jahre 1930 bis 1997 errechnete - durchschnittliche Realertrag bei konservativer Anlagestrategie (10% Geldmarkt, 80% Obligationen, 10% Aktien) 1,65%, bei mittlerer Anlagestrategie (10% Geldmarkt, 60% Obligationen, 30% Aktien) 2,55% und bei aggressiver Anlagestrategie (10% Geldmarkt, 40% Obligationen, 50% Aktien) 3,45%. Das Bundesamt für Privatversicherungswesen geht für einen Zeitraum von bis zu 20 Jahren davon aus, dass ein gemischtes Portfeuille (10% Geldmarkt, 45% in- und ausländische Obligationen, 45% in- und ausländische Aktien) im Durchschnitt jährlich mit nominal 7-8% rentiert, was teuerungs- und kostenbereinigt einem Realertrag von wohl über 4% entsprechen würde. Die Schweizerische Nationalbank gelangt gestützt auf den Aktienindex des Schweizerischen Bankvereins von Januar 1969 bis Dezember 1997 zu einer durchschnittlichen realen Aktienrendite von 2,26% im Jahr, wobei in der Zeit von 1972 bis 1985 mehrheitlich Verluste, seither mehrheitlich - zum Teil massive - Gewinne zu verbuchen waren. Für risikolose Anlagen rechnet die BGE 125 III 312 S. 317 Nationalbank langfristig mit einer jährlichen realen Verzinsung von rund 2%. Nach den Angaben des Schweizerischen Versicherungsverbands liegen die durchschnittlichen realen Nettorenditen je nach Durchmischung des Portfeuilles zwischen 2,2 und 4,9%. All diese Berechnungen beruhen im Wesentlichen auf denselben statistischen Unterlagen aus den vergangenen Jahrzehnten. Die unterschiedlichen Resultate erklären sich aus den verschiedenen Beobachtungszeiträumen. Da sich der Aktienmarkt seit Mitte der Achtziger Jahre positiv entwickelt, ergibt sich für Anlagen mit einem massgeblichen Aktienanteil ein umso höherer Realertrag, je kürzer die Zeitachse gewählt und je weniger weit in die Vergangenheit zurückgegriffen wird. d) Ein ähnliches Bild zeichnet übrigens auch die vorerwähnte, 1997 veröffentlichte Studie von CHRISTOPH AUCKENTHALER und ANDREAS J. ZIMMERMANN. Nach deren auf den Zahlen aus den Jahren 1970 bis 1997 beruhenden Berechnungen beträgt die reale Netto-Rendite eines gemischten Portfeuilles je nach eingegangenem Risiko zwischen 2,12 und 4,07% (AJP 1997, S. 1139). 5. a) Mit der Ausrichtung von kapitalisiertem Schadenersatz erhält der Geschädigte einen Betrag, den er ohne den Schadenfall erst in Zukunft nach und nach verdient hätte. Er kann diesen Betrag ertragbringend anlegen und erlangt daraus einen Vorteil. Dass bei der Kapitalisierung eine Abzinsung eingerechnet wird, erscheint insofern als eine besondere Form des Vorteilsausgleichs. Dem Vorteil des Kapitalertrags steht aber der Nachteil der künftigen Geldentwertung gegenüber. Das Schadenersatzkapital wirft nicht nur Ertrag ab, sondern unterliegt auch der Teuerung, so dass dem Geschädigten nur die Differenz zwischen Kapitalertrag und Inflationsrate, mithin der reale Ertrag verbleibt. Soweit in früheren Entscheiden ausgeführt wurde, die Geldentwertung sei bei der Kapitalisierung nicht oder nur teilweise zu berücksichtigen (vgl. BGE 117 II 609 E. 12b/bb S. 628 f.; BGE 113 II 323 E. 3a S. 332; BGE 96 II 446 S. 447), kann daran nicht festgehalten werden. Der Geschädigte erhält seinen Schaden aus Erwerbsausfall nicht voll ersetzt, wenn die betragsmässige Steigerung ausser Acht gelassen wird, die sein Einkommen ohne den Schadenfall zufolge Anpassung an den sinkenden Geldwert erfahren hätte. Der Kapitalisierungszinsfuss hat demnach grundsätzlich dem Ertrag zu entsprechen, der sich auf dem Schadenersatzkapital real erzielen lässt. b) Die Kapitalerträge folgen den Konjunkturschwankungen. Der Kapitalisierungszinsfuss kann jedoch nicht laufend den wirtschaftlichen Gegebenheiten angepasst werden. Andernfalls wären verlässliche BGE 125 III 312 S. 318 Abschätzungen der Schadenssummen sowohl für die Haftpflichtigen wie für die Geschädigten nicht mehr möglich. Ein variabler Zinssatz würde im Übrigen auch dazu führen, dass die Höhe der zu leistenden Entschädigung im Streitfall unter Umständen durch Prozessverzögerung oder -beschleunigung beeinflusst werden könnte. Solches wäre mit dem Gebot der Rechtssicherheit nicht zu vereinbaren. Gerade im Bereich des Schadenersatzrechts besteht ein ausgeprägtes Bedürfnis nach Kalkulierbarkeit. Namentlich die Versicherungs-Gesellschaften sind für die Prämienberechnung darauf angewiesen, den Kapitalbedarf für künftige Schadenereignisse einigermassen zuverlässig veranschlagen zu können. Im Hinblick auf Rechtssicherheit und Praktikabilität verbietet es sich auch, bei der Bestimmung des Kapitalisierungszinsfusses auf die individuellen Verhältnisse der einzelnen Geschädigten Rücksicht zu nehmen (ebenso WEBER/SCHAETZLE, a.a.O., S. 1118; SCHAETZLE/WEBER, a.a.O., S. 95). Der Umstand, dass nicht jede Person über das gleiche Geschick verfügt, mit Kapitalien umzugehen, hat daher ausser Betracht zu bleiben. Ebensowenig kann berücksichtigt werden, dass die Ertragsmöglichkeiten umso besser sind, je grösser das Schadenskapital und damit das Anlagevolumen, das dem Geschädigten zur Verfügung steht, und der ihm eröffnete zeitliche Anlagehorizont sind (vgl. AUCKENTHALER/ZIMMERMANN, a.a.O., S. 1138 f.). Abzustellen ist auf Durchschnittswerte. Massgebend ist, welcher reale Ertrag auf kapitalisierten Schadenssummen im Durchschnitt der Geschädigten und im Durchschnitt der Jahre und Jahrzehnte erzielt werden kann. c) In der Lehre ist zum Teil die Forderung erhoben worden, auch den künftigen Reallohnerhöhungen mit dem Kapitalisierungszinsfuss Rechnung zu tragen (PETER STEIN, Die massgebende Rententafel, Juristische Schriften des TCS Nr. 8, Genf 1989, S. 17 f.; kritisch: GIOVANNONI, a.a.O., S. 8 f.; zu den verschiedenen Möglichkeiten, Reallohnerhöhungen generell zu berücksichtigen, vgl. MARC SCHAETZLE, Zur Kapitalisierung von Reallohnerhöhungen, plädoyer 5/1991, S. 42 ff.). Die Reallohnentwicklungen sind jedoch in den einzelnen Branchen und Bereichen möglicher Erwerbstätigkeit sehr unterschiedlich. Die individuelle Einkommensentwicklung hängt zudem stark vom Alter des Geschädigten ab (vgl. SCHAETZLE, a.a.O., S. 43 f.; WEBER/SCHAETZLE, a.a.O., S. 1113 f.; SCHAETZLE/WEBER, a.a.O., S. 54). Die Praktikabilität gebietet es, bei der Festsetzung des Kapitalisierungszinsfusses nur jene Elemente zu berücksichtigen, die für alle Fälle künftiger Einkommenseinbussen gleich BGE 125 III 312 S. 319 sind. Weiteren Umständen ist im Einzelfall auf andere Weise Rechnung zu tragen. Vorliegend haben die kantonalen Gerichte die reale Entwicklung des dem Kläger entgangenen Einkommens konkret geschätzt. Gegen dieses Vorgehen ist nichts einzuwenden. 6. Der auf längere Sicht durchschnittlich erzielbare Realertrag ist von der Anlagestruktur abhängig. Es gibt ertragreichere und weniger ertragreiche Anlagen. Höher rentierende Anlagen sind allerdings regelmässig auch mit höheren Risiken verbunden. Damit stellt sich die Frage, welche Anlageformen und welche Anlagerisiken einem Geschädigten zugemutet werden dürfen und müssen. In diesem Zusammenhang ist Folgendes von Bedeutung: a) Auf ein Leben ohne jedes finanzielle Risiko können Geschädigte, die für künftigen Erwerbsausfall eine Kapitalabfindung verlangen, nicht Anspruch erheben. Gewisse Anlagerisiken sind ihnen durchaus zuzumuten. Das rechtfertigt sich schon deshalb, weil auch voll erwerbstätige Personen erheblichen wirtschaftlichen Risiken ausgesetzt sind, insbesondere jenem der Arbeitslosigkeit. Auf der anderen Seite darf nicht vorausgesetzt werden, dass durchschnittliche Geschädigte in der Lage wären, besonders günstige Börsengeschäfte zu tätigen. Kapitalabfindungen sind grundsätzlich für den laufenden Verzehr bestimmt, so dass vorauszusetzen ist, dass die geschädigte Person dauernd - und so lange sie lebt - auf das Kapital und auf dessen Ertrag angewiesen ist, weshalb sie in Zeiten niedriger Börsenkurse nicht einfach auf die Auflösung von Anlagen verzichten und abwarten kann, bis sich die Märkte wieder erholt haben. Besonders risikoreiche und auf längere Sicht entsprechend gewinnträchtige Anlagen kommen deshalb nicht in Frage. b) Das mit bestimmten, längerfristig ertragreicheren Anlagen, insbesondere mit Aktien, verbundene Risiko lässt sich allerdings mit einer angemessenen Diversifikation begrenzen. Es liegt nahe, der Ertragsschwäche risikoarmer Anlagen mit einem angemessenen Aktienanteil zu begegnen. Bundesanleihen sind entgegen dem, was der Kläger anzunehmen scheint, nicht die einzig zumutbaren Anlagen. Mit einem vernünftig gemischten, auf eine vorsichtige Anlagestrategie ausgerichteten Portefeuille lässt sich einerseits eine Risikoverteilung und damit ein Risikoausgleich schaffen, anderseits im Durchschnitt ein besserer Ertrag erwirtschaften. Diese Erkenntnis setzt sich denn in der Schweizer Bevölkerung auch mehr und mehr durch. Eine einseitige Anlehnung des Kapitalisierungszinsfusses an den Realzins der Bundesobligationen rechtfertigt sich deshalb nicht. Es ist notorisch, dass das Anlageverhalten der nicht institutionellen BGE 125 III 312 S. 320 Anleger und namentlich auch der sogenannten Kleinsparer sich in den letzten Jahren entscheidend verändert hat. An die Stelle der herkömmlichen Sparguthaben und Kassenobligationen sind ertragreichere Anlageformen getreten. Verbreitet sind heute insbesondere Investitionen in Anlagefonds. Die Anzahl schweizerischer Anlagefonds ist von 1993 bis 1998 von 240 auf 356 gestiegen, ihr Vermögen in der gleichen Zeitspanne von rund 58,1 auf rund 107,4 Milliarden Franken angewachsen, und der Mittelzufluss an sie hat von 21,8 Milliarden Franken im Jahre 1993 auf 38,5 Milliarden Franken im Jahre 1998 zugenommen (Schweizerische Nationalbank, Statistisches Monatsheft 3/1999, S. 64). Anlagefonds erlauben breiten Bevölkerungskreisen den kostengünstigen Zugang zu den Kapitalmärkten und die Teilnahme an professionell verwalteten Vermögen. Entsprechende Anlagen sind auch Geschädigten zumutbar. c) Das Gesetz äussert sich nicht dazu, ob Personenschaden in der Form eines Kapitals oder einer Rente zu ersetzen ist; es überlässt den Entscheid dem Richter ( Art. 43 OR ). Das Bundesgericht hat in seiner bisherigen Rechtsprechung regelmässig der Kapitalabfindung den Vorzug gegeben und ist davon ausgegangen, dass Renten nur ganz ausnahmsweise dann zuzusprechen sind, wenn die Besonderheiten des Einzelfalls es rechtfertigen ( BGE 117 II 609 E. 10c S. 625 f., mit Hinweisen). Diese Praxis bedarf der Überprüfung. Die Rente ist an sich die geeignete Form des Ausgleichs von Dauerschäden. Die geschädigte Person erhält mit einer an den Lohn- oder Teuerungsindex angepassten Rente den Ausfall so, wie sie ihn erleidet, und solange, wie sie ihn erleidet, ersetzt (KELLER, a.a.O., S. 43; STAUFFER/SCHAETZLE, a.a.O., S. 225 Rz. 589; BREHM, a.a.O., N. 8 zu Art. 43 OR ; OFTINGER/STARK, a.a.O., S. 321 Rz. 218). Das Rückstellungsproblem, das damit für Haftpflichtige und Versicherungen entsteht, erscheint durchaus lösbar (WALTER GRESSLY, Schadenersatz in Form einer indexierten Rente?, Collezione Assista 1998, S. 250 f.; PIERMARCO ZEN-RUFFINEN, Le mensonge du nominalisme ou quelques réflexions sur l'indexation des rentes alimentaires et des rentes indemnitaires, in: FS Jeanprêtre 1982, S. 153 f.). Jedenfalls wird man die Unwägbarkeiten der Entwicklung des Geldwerts eher dem Haftpflichtigen oder seiner Versicherung als dem Geschädigten anlasten dürfen. Kapitalabfindungen haben zwar ebenfalls ihre Vorteile, insbesondere auch jenen der Praktikabilität (STAUFFER/SCHAETZLE, a.a.O., S. 225 Rz. 583 ff.; TERCIER, La capitalisation en question, in: Kapitalisierung - Neue Wege, vgt., S. 33; BREHM, a.a.O., N. 10 und 14 ff. zu Art. 43 OR ). Das ist indessen kein Grund, anderslautende BGE 125 III 312 S. 321 Begehren von Geschädigten ohne weiteres zu übergehen und künftigen Erwerbsausfall grundsätzlich nur in Kapitalform zu ersetzen. Wenn die geschädigte Person eine indexierte Rente beansprucht, ist ihr diese Form des Schadenersatzes zumindest im Regelfall nicht zu verweigern. Steht ihr aber grundsätzlich die Wahl zu, so kann sie - oder ihr gesetzlicher Vertreter - eigenverantwortlich bestimmen, ob sie einer langfristig wertsicheren Rente oder einer sofort verfügbaren Kapitalabfindung den Vorzug gibt. Die indexierte Rente erlaubt es dem Geschädigten, periodischen Ersatz seines realen Einkommensausfalls zu erhalten und damit seinen Lebensunterhalt langfristig sicherzustellen. Wählt er hingegen - wie im vorliegenden Fall der Kläger - die Kapitalabfindung, so ist ihm zuzumuten, sich im Rahmen des bei geeigneter Anlage erzielbaren Realertrags selbst gegen die Geldentwertung abzusichern. 7. Die Änderung einer Rechtsprechung rechtfertigt sich nur, wenn sich dafür hinreichend ernsthafte Gründe anführen lassen. Das gilt namentlich, wenn diese Rechtsprechung während mehrerer Jahrzehnte konstant befolgt worden ist ( BGE 120 II 137 E. 3f S. 142, mit Hinweisen; vgl. auch BGE 122 I 57 E. 3c/aa S. 59). Die Gründe, die gegen die bisherige Praxis und zugunsten einer neuen Betrachtungsweise sprechen, müssen insgesamt gewichtiger sein als die nachteiligen Auswirkungen, welche die Praxisänderung insbesondere auf die Rechtssicherheit hat (THOMAS PROBST, Die Änderung der Rechtsprechung, Diss. St. Gallen 1992, S. 664). Dabei ist vorliegend zu berücksichtigen, dass das Bedürfnis nach Rechtssicherheit im Bereich der Schadenskalkulation besonders ausgeprägt ist (E. 5b hievor). Die bisherige, langjährige Rechtsprechung ist deshalb nur zu ändern, wenn hinreichend sichere Anzeichen dafür bestehen, dass ein Realertrag von 3,5% auf Kapitalabfindungen in absehbarer Zukunft nicht realisierbar ist, und sich mit hinreichender Gewissheit sagen lässt, dass der seit 1946 geltende Kapitalisierungszinsfuss mit dem Grundsatz des vollen Schadensausgleichs nicht zu vereinbaren ist. In Würdigung der Aussagen der Experten ist davon auszugehen, dass ein realer Ertrag von 3,5% jedenfalls seit Mitte der achtziger Jahre im Rahmen dessen liegt, was sich mit einem angemessen gemischten Wertschriften-Portefeuille oder mit Anteilen an einem auf eine vorsichtige Anlagestrategie ausgerichteten Anlagefonds erzielen lässt. Dafür, dass sich die derzeitige Ertragslage solcher Anlagen in absehbarer Zukunft nicht mehr werde halten können, bestehen keine hinreichend gesicherten Anhaltspunkte. Eine Praxisänderung ist deshalb nicht angezeigt. Am Kapitalisierungszinsfuss BGE 125 III 312 S. 322 von 3,5% ist festzuhalten. Ein entsprechender Realertrag erscheint mit zumutbaren Anlagen erreichbar. Die zu 3,5% kapitalisierte Abfindung, welche die Vorinstanz dem Kläger zugesprochen hat, bietet ihm vollen Ersatz seines Schadens aus Erwerbsausfall. Die Berufung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