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293</w:t>
      </w:r>
    </w:p>
    <w:p>
      <w:r>
        <w:t>Bundesgericht (BGE), 1999-01-01, DE</w:t>
      </w:r>
    </w:p>
    <w:p>
      <w:r>
        <w:rPr>
          <w:b/>
        </w:rPr>
        <w:t xml:space="preserve">Quelle: </w:t>
      </w:r>
      <w:r>
        <w:t>https://mcp.opencaselaw.ch/entscheid/bge_BGE_125_III_293</w:t>
      </w:r>
    </w:p>
    <w:p>
      <w:r>
        <w:t>FR: ATF 125 III 293</w:t>
      </w:r>
    </w:p>
    <w:p>
      <w:r>
        <w:t>IT: DTF 125 III 293</w:t>
      </w:r>
    </w:p>
    <w:p>
      <w:pPr>
        <w:pStyle w:val="Heading2"/>
      </w:pPr>
      <w:r>
        <w:t>Regeste</w:t>
      </w:r>
    </w:p>
    <w:p>
      <w:r>
        <w:t>Regeste Konkurs; Qualifikation einer Forderung als Masseverbindlichkeit oder als Konkursforderung. Wird eine Forderung nicht als Masseverbindlichkeit anerkannt, so obliegt es dem Gläubiger, der eine solche behauptet, innert angemessener Frist vor dem Zivilrichter oder vor der zuständigen Verwaltungsbehörde gegen die Konkursmasse zu klagen.</w:t>
      </w:r>
    </w:p>
    <w:p>
      <w:r>
        <w:t>Regeste Faillite; qualification d'une dette comme obligation de la masse ou obligation du failli. Si une dette n'est pas reconnue comme dette de la masse, il appartient au créancier, qui soutient que c'est bien le cas, d'ouvrir action devant le juge civil ou l'autorité administrative contre la masse dans un délai convenable.</w:t>
      </w:r>
    </w:p>
    <w:p>
      <w:r>
        <w:t>Regesto Fallimento; qualifica di un debito quale debito della massa o del fallito. Se un debito non è riconosciuto come debito della massa, compete al creditore, che sostiene invece il contrario, promuovere entro un adeguato termine una causa contro la massa innanzi al giudice civile o all'autorità amministrativa competente.</w:t>
      </w:r>
    </w:p>
    <w:p>
      <w:pPr>
        <w:pStyle w:val="Heading2"/>
      </w:pPr>
      <w:r>
        <w:t>Erwägungen</w:t>
      </w:r>
    </w:p>
    <w:p>
      <w:r>
        <w:rPr>
          <w:b/>
        </w:rPr>
        <w:t>E. 2</w:t>
      </w:r>
    </w:p>
    <w:p>
      <w:r>
        <w:t>Il n'appartient pas aux autorités de surveillance de la poursuite et de la faillite, dont la Chambre de céans,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 ATF 113 III 148 consid. 1; ATF 106 III 118 consid. 1 et les arrêts cités; GILLIÉRON, Poursuite pour dettes, faillite et concordat, 3e éd., Lausanne 1993, p. 300; AMONN/GASSER, Grundriss des Schuldbetreibungs- und Konkursrechts, 6e éd., Berne 1997, § 42 BGE 125 III 293 S. 294 n. 8). Si, comme en l'espèce, la dette en question n'est pas reconnue comme une dette de la masse, il appartient au créancier qui soutient que c'est bien le cas d'ouvrir action contre la masse ( ATF 75 III 22 , 57; FAVRE, Droit des poursuites, 3e éd., p. 330; AMONN/GASSER, op. cit., § 48 n. 8). Cette action contre la masse n'est soumise à aucun délai, mais l'administration de la faillite peut menacer le créancier de procéder à la distribution sans tenir compte de sa prétention d'être payé par prélèvement s'il n'ouvre pas action dans un délai convenable ( ATF 75 III 57 ).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