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247</w:t>
      </w:r>
    </w:p>
    <w:p>
      <w:r>
        <w:t>Bundesgericht (BGE), 1999-01-01, DE</w:t>
      </w:r>
    </w:p>
    <w:p>
      <w:r>
        <w:rPr>
          <w:b/>
        </w:rPr>
        <w:t xml:space="preserve">Quelle: </w:t>
      </w:r>
      <w:r>
        <w:t>https://mcp.opencaselaw.ch/entscheid/bge_BGE_125_III_247</w:t>
      </w:r>
    </w:p>
    <w:p>
      <w:r>
        <w:t>FR: ATF 125 III 247</w:t>
      </w:r>
    </w:p>
    <w:p>
      <w:r>
        <w:t>IT: DTF 125 III 247</w:t>
      </w:r>
    </w:p>
    <w:p>
      <w:pPr>
        <w:pStyle w:val="Heading2"/>
      </w:pPr>
      <w:r>
        <w:t>Regeste</w:t>
      </w:r>
    </w:p>
    <w:p>
      <w:r>
        <w:t>Regeste Art. 19 SchKG; Art. 3 SchKG; Art. 79 Abs. 1 OG und Art. 90 Abs. 1 lit. b OG. Besoldung des Betreibungs- und Konkursbeamten (E. 2). Anforderungen an die Begründung von Rechtsschriften (E. 3).</w:t>
      </w:r>
    </w:p>
    <w:p>
      <w:r>
        <w:t>Regeste Art. 19 LP; art. 3 LP; art. 79 al. 1 OJ et art. 90 al. 1 let. b OJ. Rémunération des préposés aux offices des poursuites et des faillites (consid. 2). Exigences quant à la motivation des recours (consid. 3).</w:t>
      </w:r>
    </w:p>
    <w:p>
      <w:r>
        <w:t>Regesto Art. 19 LEF; art. 3 LEF; art. 79 cpv. 1 OG e art. 90 cpv. 1 lett. b OG. Retribuzione dell'ufficiale esecutore e di quello dei fallimenti (consid. 2). Esigenze relative alla motivazione di ricorsi (consid. 3).</w:t>
      </w:r>
    </w:p>
    <w:p>
      <w:pPr>
        <w:pStyle w:val="Heading2"/>
      </w:pPr>
      <w:r>
        <w:t>Erwägungen</w:t>
      </w:r>
    </w:p>
    <w:p>
      <w:r>
        <w:rPr>
          <w:b/>
        </w:rPr>
        <w:t>E. 2</w:t>
      </w:r>
    </w:p>
    <w:p>
      <w:r>
        <w:t>Es geht im vorliegenden Fall um die Besoldung des Konkursbeamten. Diese ist Sache der Kantone ( Art. 3 SchKG ); die Beschwerden gemäss Art. 19 SchKG behandelnde Schuldbetreibungs- und Konkurskammer des Bundesgerichts hat keine Entscheidkompetenz. Daran ändert der Umstand nichts, dass im vorliegenden Fall der Besoldungsanspruch teilweise gestützt auf die Gebührenverordnung zum Bundesgesetz über Schuldbetreibung und Konkurs beurteilt worden ist. Das geschah insoweit, als die Konkursbeamten im Kanton Luzern nach dem Sportelsystem entschädigt werden (vgl. dazu STAEHELIN/BAUER/STAEHELIN, Kommentar zum Bundesgesetz über Schuldbetreibung und Konkurs, Art. 3 N. 3); doch damit wird die Gebührenverordnung zu kantonalem Recht, dessen Anwendung sich der Überprüfung durch die erkennende Kammer entzieht ( Art. 79 Abs. 1 OG e contrario). BGE 125 III 247 S. 248</w:t>
      </w:r>
    </w:p>
    <w:p>
      <w:r>
        <w:rPr>
          <w:b/>
        </w:rPr>
        <w:t>E. 3</w:t>
      </w:r>
    </w:p>
    <w:p>
      <w:r>
        <w:t>Dem Antrag des Beschwerdeführers, seine Eingabe als staatsrechtliche Beschwerde entgegenzunehmen (bzw. der für deren Behandlung zuständigen Abteilung des Bundesgerichts zu überweisen), falls die Beschwerde gemäss Art. 19 SchKG nicht zulässig sei, ist nicht stattzugeben. Weder begründet der Beschwerdeführer in seiner Eingabe die beiden Rechtsmittel klar getrennt, noch genügt seine Begründung den Anforderungen des Art. 90 Abs. 1 lit. b OG (vgl. MESSMER/IMBODEN, Die eidgenössischen Rechtsmittel in Zivilsachen, S.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