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271</w:t>
      </w:r>
    </w:p>
    <w:p>
      <w:r>
        <w:t>Bundesgericht (BGE), 1996-12-31, FR</w:t>
      </w:r>
    </w:p>
    <w:p>
      <w:r>
        <w:rPr>
          <w:b/>
        </w:rPr>
        <w:t xml:space="preserve">Quelle: </w:t>
      </w:r>
      <w:r>
        <w:t>https://mcp.opencaselaw.ch/entscheid/bge_BGE_124_V_271</w:t>
      </w:r>
    </w:p>
    <w:p>
      <w:r>
        <w:t>FR: ATF 124 V 271</w:t>
      </w:r>
    </w:p>
    <w:p>
      <w:r>
        <w:t>IT: DTF 124 V 271</w:t>
      </w:r>
    </w:p>
    <w:p>
      <w:pPr>
        <w:pStyle w:val="Heading2"/>
      </w:pPr>
      <w:r>
        <w:t>Regeste</w:t>
      </w:r>
    </w:p>
    <w:p>
      <w:r>
        <w:t>Regeste Art. 42 Abs. 1 AHVG (in der bis 31. Dezember 1996 gütlig gewesenen Fassung); Art. 2 ELG: Höhe der Ergänzungsleistung, welche einer altrechtlichen einkommensabhängigen ausserordentlichen Rente folgt. Das Fehlen einer gesetzlichen Regelung, die einem Versicherten beim Übergang seines Anspruchs auf eine altrechtliche einkommensabhängige ausserordentliche Rente auf das System der Ergänzungsleistungen denselben Gesamtbetrag (ordentliche Rente und Ergänzungsleistung) garantieren würde, den er vor dem Inkrafttreten der 10. AHV-Revision bezogen hat, stellt keine Gesetzeslücke dar.</w:t>
      </w:r>
    </w:p>
    <w:p>
      <w:r>
        <w:t>Regeste Art. 42 al. 1 LAVS (dans sa teneur valable jusqu'au 31 décembre 1996); art. 2 LPC: montant de la prestation complémentaire qui succède à une ancienne rente extraordinaire soumise aux limites de revenu. Ne constitue pas une lacune de la loi l'absence de toute norme légale garantissant à l'assuré, en cas de transfert au régime des prestations complémentaires de son droit à une ancienne rente extraordinaire soumise aux limites de revenu, le même montant total (rente ordinaire et prestation complémentaire) que celui qu'il touchait avant l'entrée en vigueur de la 10e révision de l'AVS.</w:t>
      </w:r>
    </w:p>
    <w:p>
      <w:r>
        <w:t>Regesto Art. 42 cpv. 1 LAVS (nel tenore vigente fino al 31 dicembre 1996); art. 2 LPC: importo della prestazione complementare che succede a una vecchia rendita straordinaria con limite di reddito. Non è ravvisabile una lacuna legislativa nell'assenza di norme legali che garantiscano all'assicurato, nel caso di trasferimento nel regime delle prestazioni complementari del suo diritto a una vecchia rendita straordinaria con limite di reddito, prestazioni per un importo complessivo pari a quello percepito prima dell'entrata in vigore della 10a revisione dell'AVS.</w:t>
      </w:r>
    </w:p>
    <w:p>
      <w:pPr>
        <w:pStyle w:val="Heading2"/>
      </w:pPr>
      <w:r>
        <w:t>Erwägungen</w:t>
      </w:r>
    </w:p>
    <w:p>
      <w:r>
        <w:rPr>
          <w:b/>
        </w:rPr>
        <w:t>E. 1</w:t>
      </w:r>
    </w:p>
    <w:p>
      <w:r>
        <w:t>a) Selon l'art. 1er al. 2 de l'arrêté fédéral concernant le statut des réfugiés et des apatrides dans l'assurance-vieillesse et survivants et dans l'assurance-invalidité (ARéf; RS 831.131.11), dans sa version en vigueur depuis le 1er janvier 1997, les réfugiés qui ont leur domicile et leur résidence habituelle en Suisse ont droit aux rentes extraordinaires de l'AVS, ainsi que de l'AI, aux mêmes conditions que les ressortissants suisses si, immédiatement avant la date à partir de laquelle ils demandent la rente, ils ont résidé en Suisse d'une manière ininterrompue pendant cinq années. Aux termes de l'ancien art. 42 al. 1 LAVS (auquel renvoyait l'ancien art. 39 al. 1 LAI ), les ressortissants suisses domiciliés en Suisse, qui n'avaient pas droit à une rente ordinaire ou dont la rente ordinaire était inférieure à la rente extraordinaire, avaient droit à cette dernière, dans la mesure où les deux tiers de leur revenu annuel, auquel était ajoutée une part équitable de leur fortune, n'atteignaient pas certaines limites. Cette disposition concernait principalement les personnes qui comptaient une durée incomplète de cotisations. La 10e révision de l'AVS a notamment entraîné le transfert au régime des prestations complémentaires de cette rente extraordinaire soumise aux limites de revenu (voir DUC, La 10e révision de l'AVS et la Constitution fédérale, in: RSAS 1990 p. 57 ss; message du Conseil fédéral concernant la 10e révision de BGE 124 V 271 S. 274 l'assurance-vieillesse et survivants du 5 mars 1990 [FF 1990 II 62 ch. 346]). En revanche, les rentes extraordinaires non soumises à limites de revenu ont été maintenues pour certaines personnes qui n'ont pas eu l'occasion de verser des cotisations à l'AVS. C'est ainsi que d'après le nouvel art. 42 al. 1 LAVS (en vigueur depuis le 1er janvier 1997), les ressortissants suisses qui ont leur domicile et leur résidence habituelle en Suisse ont droit à une rente extraordinaire s'ils ont le même nombre d'années d'assurance que les personnes de leur classe d'âge, mais ne peuvent prétendre à une rente ordinaire parce qu'ils n'ont pas été soumis à l'obligation de verser des cotisations pendant une année entière au moins. Ce droit revient également à leurs survivants. En vertu de l' art. 39 al. 1 LAI (dans sa teneur en vigueur depuis le 1er janvier 1997), cette réglementation s'applique aussi aux rentes extraordinaires de l'assurance-invalidité. b) La recourante, au bénéfice du statut de réfugiée et qui réside en Suisse de manière ininterrompue depuis février 1983, comptait, lors de la survenance de son invalidité, deux ans et 11 mois de cotisations. Dès lors, depuis le 1er janvier 1997, elle ne remplit plus les conditions d'octroi d'une rente extraordinaire, ce qu'elle ne conteste d'ailleurs pas.</w:t>
      </w:r>
    </w:p>
    <w:p>
      <w:r>
        <w:rPr>
          <w:b/>
        </w:rPr>
        <w:t>E. 2</w:t>
      </w:r>
    </w:p>
    <w:p>
      <w:r>
        <w:t>Ne sont pas litigieux les montants de la demi-rente simple partielle ordinaire d'invalidité et des demi-rentes complémentaires pour enfants qui sont versées à la recourante depuis le 1er janvier 1997, selon décision de l'office cantonal de l'assurance-invalidité du 27 décembre 1996. D'autre part, devant le Tribunal fédéral des assurances, la recourante ne conteste plus la manière dont l'intimée a calculé le montant de la prestation complémentaire à laquelle elle a droit depuis le 1er janvier 1997. Ce calcul, au demeurant, n'apparaît pas critiquable. La recourante soutient en revanche que, dans la mesure où l'entrée en vigueur de la 10e révision de l'AVS entraîne une diminution des prestations qui lui sont allouées au titre de l'assurance-invalidité et du régime des prestations complémentaires, alors que rien n'a changé dans sa situation, la loi présente une lacune authentique qu'il incombe au juge de combler comme il le ferait s'il avait à faire acte de législateur ( art. 1er al. 2 CC ). Cette lacune proviendrait du fait que ce dernier a omis de régler la situation qui se présente ici dans les dispositions transitoires de la révision précitée, par exemple en garantissant leurs droits acquis aux anciens titulaires de rentes extraordinaires soumises aux limites de revenu. BGE 124 V 271 S. 275 a) On est en présence d'une lacune authentique lorsque le législateur s'est abstenu de régler un point qu'il aurait dû régler et qu'aucune solution ne se dégage du texte ou de l'interprétation de la loi. On a en revanche affaire à une lacune improprement dite lorsque la loi offre certes une réponse mais que celle-ci est insatisfaisante; il en va notamment ainsi lorsque le rattachement d'un état de fait à une disposition légale s'impose d'après son texte clair mais apparaît comme une application insoutenable de la loi d'un point de vue téléologique ( ATF 122 I 255 consid. 6a, ATF 121 III 225 sv.).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ATF 123 V 130 consid. 2, ATF 121 III 226 , ATF 121 V 176 consid. 4d, ATF 119 V 254 sv. consid. 3b). b) Cependant, il n'existe en l'espèce aucune lacune de la loi. En réalité, l'absence de toute norme légale garantissant à l'assuré, en cas de transfert au régime des prestations complémentaires de son droit à une rente extraordinaire soumise aux limites de revenu, le même montant total (rente ordinaire et prestation complémentaire) que celui qu'il touchait avant l'entrée en vigueur de la 10e révision de l'AVS, résulte d'un silence qualifié du législateur à qui le problème ne peut avoir échappé. C'est ainsi que dans son message précité, le Conseil fédéral a lui-même relevé que les prestations complémentaires sont "en général" plus élevées que la rente extraordinaire, ce qui implique qu'il peut exister des exceptions à cette règle générale (ibidem). Par ailleurs, même si les anciennes rentes extraordinaires soumises aux limites de revenu et les prestations complémentaires sont toutes deux des prestations de besoin, dites non contributives car ne dépendant en rien des cotisations versées par l'ayant droit, il s'agit néanmoins de deux régimes différents et le passage de l'un à l'autre ne commande pas le maintien du statu quo (cf. dans le même sens, par analogie, ATF 96 V 118 ). Enfin, il est de jurisprudence constante que le droit fédéral des assurances sociales ne connaît pas de droit acquis à une prestation d'assurance - ou au montant d'un telle prestation - à moins que la loi ne le prévoie par une disposition expresse (par ex. ATF 113 V 118 sv. consid. 4c, ATF 112 V 395 consid. 3d, ATF 108 V 119 consid. 5), ce qui n'est pas le cas en l'occurrence.</w:t>
      </w:r>
    </w:p>
    <w:p>
      <w:r>
        <w:rPr>
          <w:b/>
        </w:rPr>
        <w:t>E. 3</w:t>
      </w:r>
    </w:p>
    <w:p>
      <w:r>
        <w:t>Il suit de là que le recours est mal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