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V 253</w:t>
      </w:r>
    </w:p>
    <w:p>
      <w:r>
        <w:t>Bundesgericht (BGE), 1998-01-01, DE</w:t>
      </w:r>
    </w:p>
    <w:p>
      <w:r>
        <w:rPr>
          <w:b/>
        </w:rPr>
        <w:t xml:space="preserve">Quelle: </w:t>
      </w:r>
      <w:r>
        <w:t>https://mcp.opencaselaw.ch/entscheid/bge_BGE_124_V_253</w:t>
      </w:r>
    </w:p>
    <w:p>
      <w:r>
        <w:t>FR: ATF 124 V 253</w:t>
      </w:r>
    </w:p>
    <w:p>
      <w:r>
        <w:t>IT: DTF 124 V 253</w:t>
      </w:r>
    </w:p>
    <w:p>
      <w:pPr>
        <w:pStyle w:val="Heading2"/>
      </w:pPr>
      <w:r>
        <w:t>Regeste</w:t>
      </w:r>
    </w:p>
    <w:p>
      <w:r>
        <w:t>Regeste Art. 52 AHVG: Verschuldensbeurteilung bei Zahlungsaufschub mit Tilgungsplan. Bei der Beurteilung der Frage, ob die verantwortlichen Arbeitgeberorgane ihren Sorgfaltspflichten im Zusammenhang mit der Einhaltung der Beitragszahlungspflicht nachgekommen sind, ist ein mit der Ausgleichskasse vereinbarter Zahlungsaufschub mit Tilgungsplan mitzuberücksichtigen, soweit dem Beitragspflichtigen damit ein Abweichen von den ordentlichen Zahlungsterminen zugestanden wird (Präzisierung der Rechtsprechung).</w:t>
      </w:r>
    </w:p>
    <w:p>
      <w:r>
        <w:t>Regeste Art. 52 LAVS: examen du caractère fautif en cas de sursis au paiement assorti d'un plan d'amortissement. Pour trancher le point de savoir si les organes d'une personne morale ont observé leur devoir de diligence en relation avec l'obligation de l'employeur de s'acquitter du paiement des cotisations, il y a lieu de prendre en considération un accord passé avec la caisse de compensation prévoyant un sursis au paiement assorti d'un plan d'amortissement, pour autant que cet accord modifie les termes ordinaires de paiement en faveur des débiteurs des cotisations (précision de la jurisprudence).</w:t>
      </w:r>
    </w:p>
    <w:p>
      <w:r>
        <w:t>Regesto Art. 52 LAVS: valutazione della colpa nel caso di proroga dei termini di pagamento con piano d'ammortamento. Al fine di valutare se gli organi responsabili abbiano soddisfatto al dovere di diligenza loro incombente in tema d'obbligo del datore di lavoro di pagare i contributi, occorre prendere in considerazione, fra l'altro, un accordo concluso con la cassa di compensazione che prevede una proroga dei termini di pagamento con piano d'ammortamento, ciò nella misura in cui simile accordo modifichi a favore dei debitori dei contributi i termini di pagamento usuali (precisazione della giurisprudenza).</w:t>
      </w:r>
    </w:p>
    <w:p>
      <w:pPr>
        <w:pStyle w:val="Heading2"/>
      </w:pPr>
      <w:r>
        <w:t>Erwägungen</w:t>
      </w:r>
    </w:p>
    <w:p>
      <w:r>
        <w:rPr>
          <w:b/>
        </w:rPr>
        <w:t>E. 3</w:t>
      </w:r>
    </w:p>
    <w:p>
      <w:r>
        <w:t>a) Gegenstand der Schadenersatzforderung gemäss Verfügung vom 30. Oktober 1995 und der Klage vom 15. Dezember 1995 bilden unbezahlt gebliebene paritätische Sozialversicherungsbeiträge aus - der Beitragsrechnung für Dezember 1994 vom 16. Dezember 1994 über 18'624 Franken, - der Jahresabrechnung 1994 vom 17. Januar 1995 über Fr. 116'797.35 und - der Jahresabrechnung 1995 vom 4. August 1995 über Fr. 90'646.55. Bis Oktober 1994 ist die X AG der Beitragspflicht ordnungsgemäss nachgekommen. Den Pauschalbetrag für November 1994 hat sie nach erfolgter Mahnung und eingeleiteter Betreibung bezahlt. Für die am 16. Dezember 1994 in Rechnung gestellten Beiträge für Dezember 1994 wurde sie am 5. Februar 1995 gemahnt. Nachdem die Firma bereits zuvor die Jahresabrechnung für 1994 vom 17. Januar 1995 erhalten hatte, ersuchte sie um Zahlungsaufschub, welchem Begehren die Ausgleichskasse mit Verfügung vom 22. Februar 1995 in der Weise entsprach, dass der geschuldete Restbetrag für 1994 von Fr. 135'421.35 mit einer Zahlung von 18'624 Franken Ende Mai 1995 und monatlichen Zahlungen von Fr. 23'359.45 auf Ende Juli, August, September, Oktober und November 1995 getilgt werden sollte. Gleichzeitig erklärte sich die Ausgleichskasse mit den von der Firma vorgeschlagenen Zahlungsterminen für die Pauschalrechnungen ab Januar 1995 einverstanden. b) In BGE 108 V 202 Erw. 2 hat das Eidg. Versicherungsgericht ausgeführt, dass eine Zahlungsvereinbarung ein grobfahrlässiges Verschulden nicht ausschliesst, weil im Zahlungsaufschub lediglich der Versuch zu erblicken ist, den bereits widerrechtlich eingetretenen Zahlungsrückstand nachträglich wieder in Ordnung zu bringen. Der Zahlungsaufschub vermöge die nicht rechtzeitige Bezahlung sowohl der bereits verfallenen als auch der erst fällig werdenden Beiträge nicht zu entschuldigen bzw. zu rechtfertigen; es frage sich lediglich, ob die Zahlungsrückstände, welche zur Stundung Anlass gegeben hätten, sich durch ein entschuldbares oder gerechtfertigtes Verhalten begründen liessen. Diese (in der nicht publizierten Erw. 8b des in AHI 1994 S. 36 auszugsweise veröffentlichten Urteils K. vom 13. September 1993 bestätigte und auf einer BGE 124 V 253 S. 255 Verschuldensvermutung beruhende) Rechtsprechung ist dahingehend zu präzisieren, dass ein Zahlungsaufschub mit Tilgungsplan zwar an der Widerrechtlichkeit der nicht ordnungsgemässen Bezahlung der Beiträge nichts ändert und sich die Verschuldensfrage primär nach den Umständen beurteilt, die zum Zahlungsrückstand geführt haben; bei der Beurteilung der Frage, ob die verantwortlichen Organe ihren Sorgfaltspflichten im Zusammenhang mit der Einhaltung der Beitragszahlungspflicht nachgekommen sind, ist eine Zahlungsvereinbarung jedoch mitzuberücksichtigen, soweit dem Beitragspflichtigen damit ein Abweichen von den ordentlichen Zahlungsterminen zugestanden wird.</w:t>
      </w:r>
    </w:p>
    <w:p>
      <w:r>
        <w:rPr>
          <w:b/>
        </w:rPr>
        <w:t>E. 4</w:t>
      </w:r>
    </w:p>
    <w:p>
      <w:r>
        <w:t>a) Im vorliegenden Fall hat der Beschwerdeführer T. als einziger Verwaltungsrat der X AG sich kurz nach Erhalt der für den eingetretenen Schaden massgebenden Beitragsforderungen mit der Ausgleichskasse in Verbindung gesetzt und einen Tilgungsplan für die fälligen sowie einen Zahlungsplan für die künftigen Beiträge unterbreitet, welchem die Verwaltung "unter Berücksichtigung kleiner Änderungen" entsprochen hat. Aus der diesbezüglichen Verfügung vom 22. Februar 1995 geht hervor, dass die Beiträge für Januar 1995 bis spätestens Ende März 1995 zu bezahlen waren. Am 12. April 1995 erfolgte die Mahnung für diese Beiträge; am 10. Mai 1995 wurde über die X AG der Konkurs eröffnet. Aufgrund der Verfügung vom 22. Februar 1995, welche - entgegen Art. 38bis Abs. 1 AHVV - keine sofortige erste Teilzahlung vorsah, hatte die X AG die ausstehenden Beiträge ab Ende Mai 1995 zu tilgen. Weil bereits am 10. Mai 1995 über die Firma der Konkurs eröffnet wurde, kann dem Beschwerdeführer nicht zum Vorwurf gemacht werden, er habe nicht für die Einhaltung des Tilgungsplanes gesorgt und keine konkreten Bemühungen zur Zahlung der ausstehenden Beiträge unternommen. Der Sinn des am 22. Februar 1995 verfügten Zahlungsaufschubs bestand gerade darin, die Firma vorübergehend von der Beitragszahlungspflicht zu befreien. Ein Verschulden liegt allenfalls hinsichtlich der Nichteinhaltung der Zahlungsvereinbarung in bezug auf den Beitrag für Januar 1995 vor. Dass diese kurz vor der Konkurseröffnung fällig gewordene Zahlung nicht mehr erfolgte, kann dem Beschwerdeführer jedoch nicht als qualifiziertes Verschulden angerechnet werden (vgl. BGE 121 V 244 Erw. 5). b) Anhaltspunkte dafür, dass der Beschwerdeführer den Zahlungsaufschub beantragte, obschon er damit rechnen musste, dass die Firma in Konkurs gehen werde und er die Zahlungsvereinbarung nicht werde einhalten können, BGE 124 V 253 S. 256 bestehen nicht. Am 20. Januar 1995 hatte der Beschwerdeführer für die X AG eine Vereinbarung mit der indischen R. Industries Ltd. abgeschlossen, mit welcher der X AG über eine Aktienkapitalerhöhung neue Mittel zugeflossen wären. Im Rahmen eines unter Mitwirkung der Bank S eingesetzten "Steering-Committees" wurden im Februar/März 1995 weitere Massnahmen zur Behebung der Liquiditätskrise geprüft. Dass diese Massnahmen von vornherein als nicht erfolgversprechend zu betrachten waren, lässt sich nicht sagen. Wie der Beschwerdeführer zu Recht geltend macht, war auch die Ausgleichskasse davon ausgegangen, dass es sich bei den finanziellen Schwierigkeiten der X AG um vorübergehende Liquiditätsprobleme handelte, hätte sie andernfalls doch keinen Zahlungsaufschub bewilligen, sondern die ausstehenden Beiträge in Betreibung setzen müssen. Wenn sich die Erwartungen auf eine finanzielle Gesundung der Firma in der Folge nicht erfüllt haben, so berechtigt dies die Verwaltung nicht, die gestundeten Beiträge auf dem Wege einer Schadenersatzforderung nach Art. 52 AHVG geltend zu machen, solange dem Beschwerdeführer kein qualifiziertes Verschulden nachzuweisen ist. Eine haftungsbegründende grobe Pflichtverletzung kann dem Beschwerdeführer unter den gegebenen Umständen aber nicht zur Last gelegt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