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150</w:t>
      </w:r>
    </w:p>
    <w:p>
      <w:r>
        <w:t>Bundesgericht (BGE), 1998-04-30, DE</w:t>
      </w:r>
    </w:p>
    <w:p>
      <w:r>
        <w:rPr>
          <w:b/>
        </w:rPr>
        <w:t xml:space="preserve">Quelle: </w:t>
      </w:r>
      <w:r>
        <w:t>https://mcp.opencaselaw.ch/entscheid/bge_BGE_124_V_150</w:t>
      </w:r>
    </w:p>
    <w:p>
      <w:r>
        <w:t>FR: ATF 124 V 150</w:t>
      </w:r>
    </w:p>
    <w:p>
      <w:r>
        <w:t>IT: DTF 124 V 150</w:t>
      </w:r>
    </w:p>
    <w:p>
      <w:pPr>
        <w:pStyle w:val="Heading2"/>
      </w:pPr>
      <w:r>
        <w:t>Regeste</w:t>
      </w:r>
    </w:p>
    <w:p>
      <w:r>
        <w:t>Regeste Art. 9 Abs. 1 AHVG; Art. 17, 22 Abs. 1 und 2 AHVV: zur Rechtsbeständigkeit von Beitragsverfügungen als urteilsähnlichen Verwaltungsakten. Es ist grundsätzlich zulässig, eine Liegenschaft unter Berücksichtigung der eingetretenen tatsächlichen Verhältnisse für künftige Beitragsperioden dem Geschäfts- statt dem Privatvermögen zuzuordnen.</w:t>
      </w:r>
    </w:p>
    <w:p>
      <w:r>
        <w:t>Regeste Art. 9 al. 1 LAVS; art. 17, 22 al. 1 et 2 RAVS: de la force de chose décidée de décisions de cotisations en tant qu'actes administratifs équivalents à des jugements. En principe, il est permis, compte tenu de l'évolution des circonstances du cas particulier, de classer un immeuble dans la fortune commerciale plutôt que dans la fortune privée pour des périodes de cotisation futures.</w:t>
      </w:r>
    </w:p>
    <w:p>
      <w:r>
        <w:t>Regesto Art. 9 cpv. 1 LAVS; art. 17, 22 cpv. 1 e 2 OAVS: effetti giuridici esplicati da decisioni sui contributi che configurano atti amministrativi equivalenti a pronunzie giudiziarie. Tenuto conto di un'avvenuta modifica delle circostanze in un caso di specie, è di regola lecito includere per periodi contributivi futuri un immobile nella sostanza aziendale anziché nel patrimonio privato.</w:t>
      </w:r>
    </w:p>
    <w:p>
      <w:pPr>
        <w:pStyle w:val="Heading2"/>
      </w:pPr>
      <w:r>
        <w:t>Erwägungen</w:t>
      </w:r>
    </w:p>
    <w:p>
      <w:r>
        <w:rPr>
          <w:b/>
        </w:rPr>
        <w:t>E. 7</w:t>
      </w:r>
    </w:p>
    <w:p>
      <w:r>
        <w:t>Zusammenfassend ergibt sich, dass die Vorinstanz den Verkauf des Grundstückes G. zu Recht als gewerbsmässige Handelstätigkeit gewertet und den daraus erzielten Gewinn als beitragspflichtiges Erwerbseinkommen qualifiziert hat. Zu beurteilen ist nachfolgend die rechtliche Tragweite der Verwaltungsverfügung vom 28. August 1985, mit welcher die Ausgleichskasse nach Rücksprache mit der kantonalen Steuerverwaltung die Beitragsverfügungen für den Zeitraum von 1979 bis 1985 wieder aufhob und feststellte, bei der Liegenschaft G. und zwei weiteren handle es sich um Privatvermögen. a) Anordnungen der Verwaltung, die über einen abgeschlossenen Sachverhalt befinden, werden, weil sie insofern mit gerichtlichen Urteilen vergleichbar sind, urteilsähnliche Verfügungen genannt (GYGI, Zur Rechtsbeständigkeit von Verwaltungsverfügungen, in: ZBl 83/1982 S. 159). Der Umstand, dass urteilsähnliche Verfügungen einen zeitlich abgeschlossenen Sachverhalt regeln, hat zur Folge, dass sie mit dem Eintritt der formellen Rechtskraft auch nur bezüglich dieses Sachverhaltes rechtsbeständig werden. Ändert nach dem Erlass der ursprünglich rechtsfehlerfreien urteilsähnlichen Verfügung der rechtserhebliche Sachverhalt, so wird nicht auf die ursprüngliche Verfügung zurückgekommen und diese angepasst (materiell revidiert), sondern es wird eine neue Verfügung für den neuen, wiederum zeitlich abgeschlossenen Sachverhalt erlassen. Denn nur Dauerverfügungen können von einer Sachverhaltsänderung betroffen werden und sind der Anpassung an eine zeitliche Entwicklung zugänglich (Gygi, a.a.O., S. 167). Ist die ursprüngliche urteilsähnliche Verfügung rechtsfehlerhaft, so hindert deren Rechtsbeständigkeit die Verwaltung nicht, den Sachverhalt künftig rechtskonform zu würdigen. In Grenzfällen, in denen die Rechtsfehlerhaftigkeit nicht klar zu Tage tritt, ist der Sachverhalt auch für die Zukunft nur mit Zurückhaltung anders zu würdigen. Dies gebietet auch der Grundsatz der Verfahrensökonomie (vgl. ZAK 1989 S. 440 Erw. 2b). BGE 124 V 150 S. 153 Soll dagegen auf den formell rechtskräftigen Entscheid zurückgekommen werden, so ist dies nur unter den Voraussetzungen der Wiedererwägung oder der prozessualen Revision zulässig. In diesem Sinne hat das Eidg. Versicherungsgericht bezüglich des für die Zukunft wirkenden Wechsels des Beitragsstatuts in der AHV entschieden ( BGE 121 V 5 Erw. 6). b) Gemäss Art. 22 AHVV in der bis 31. Dezember 1994 gültig gewesenen, im vorliegenden Fall anwendbaren Fassung, wird der Jahresbeitrag für eine Beitragsperiode von zwei Jahren festgesetzt (Abs. 1). Der Beitrag wird in der Regel auf der Basis des durchschnittlichen reinen Erwerbseinkommens einer zweijährigen Berechnungsperiode bemessen, die das zweit- und drittletzte Jahr vor der Beitragsperiode umfasst und jeweils einer Berechnungsperiode der direkten Bundessteuer entspricht (Abs. 2). Die Beitragsverfügung regelt entsprechend der ordentlichen Steuerveranlagung der direkten Bundessteuer einen zeitlich abgeschlossenen Sachverhalt in der Vergangenheit mit einer einmaligen Rechtsfolge. Es handelt sich also um eine urteilsähnliche Verfügung. Die Verwaltung hat mit ihrer urteilsähnlichen Anordnung vom 28. August 1985 das Grundstück G. entsprechend den aufgehobenen Verfügungen für die Jahre 1979 bis 1985 dem Privatvermögen zugeordnet. Im Lichte der in Erw. 7a dargelegten Grundsätze verbietet es dieser Entscheid nicht, die Liegenschaft unter Berücksichtigung der tatsächlichen Verhältnisse ab 1986 im Hinblick auf die Unterscheidung Geschäfts-/Privatvermögen neu und von ihm abweichend zu qualifizieren.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