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128</w:t>
      </w:r>
    </w:p>
    <w:p>
      <w:r>
        <w:t>Bundesgericht (BGE), 1998-03-17, FR</w:t>
      </w:r>
    </w:p>
    <w:p>
      <w:r>
        <w:rPr>
          <w:b/>
        </w:rPr>
        <w:t xml:space="preserve">Quelle: </w:t>
      </w:r>
      <w:r>
        <w:t>https://mcp.opencaselaw.ch/entscheid/bge_BGE_124_V_128</w:t>
      </w:r>
    </w:p>
    <w:p>
      <w:r>
        <w:t>FR: ATF 124 V 128</w:t>
      </w:r>
    </w:p>
    <w:p>
      <w:r>
        <w:t>IT: DTF 124 V 128</w:t>
      </w:r>
    </w:p>
    <w:p>
      <w:pPr>
        <w:pStyle w:val="Heading2"/>
      </w:pPr>
      <w:r>
        <w:t>Regeste</w:t>
      </w:r>
    </w:p>
    <w:p>
      <w:r>
        <w:t>Regeste Art. 86 und 89 KVG: Rechtsweg bei Streitigkeit zwischen Krankenkasse und Versichertem über den auf eine medizinische Vorkehr anwendbaren Tarif. Der Versicherte muss entweder an das kantonale Versicherungsgericht gelangen oder aber von der Krankenkasse verlangen, beim kantonalen Schiedsgericht Klage gegen den Arzt, dessen Rechnung im Streite steht, zu erheben.</w:t>
      </w:r>
    </w:p>
    <w:p>
      <w:r>
        <w:t>Regeste Art. 86 et 89 LAMal: voie de droit en cas de litige entre une caisse et un assuré sur le tarif applicable à un acte médical. L'assuré doit ou bien saisir le tribunal cantonal des assurances ou bien requérir la caisse de saisir le tribunal arbitral cantonal d'une action dirigée contre le médecin dont la note est contestée.</w:t>
      </w:r>
    </w:p>
    <w:p>
      <w:r>
        <w:t>Regesto Art. 86 e 89 LAMal: rimedio di diritto nel caso di una lite opponente una cassa a un assicurato sul tema della tariffa applicabile a un atto medico. L'assicurato deve o adire il tribunale cantonale delle assicurazioni o chiedere alla cassa di promuovere un'azione dinanzi al tribunale arbitrale cantonale contro il medico il cui onorario è contestato.</w:t>
      </w:r>
    </w:p>
    <w:p>
      <w:pPr>
        <w:pStyle w:val="Heading2"/>
      </w:pPr>
      <w:r>
        <w:t>Erwägungen</w:t>
      </w:r>
    </w:p>
    <w:p>
      <w:r>
        <w:rPr>
          <w:b/>
        </w:rPr>
        <w:t>E. 1</w:t>
      </w:r>
    </w:p>
    <w:p>
      <w:r>
        <w:t>Ainsi que la recourante le reconnaît, dans le cas particulier, l'examen subi par l'intimée - une ostéodensitométrie (minéralométrie) - est à la charge de l'assurance-maladie obligatoire des soins. Le litige ne porte donc que sur le tarif applicable à cet examen radiologique, la valeur de cette prestation n'ayant pas encore été fixée par le Conseil d'Etat genevois conformément à l' art. 47 al. 1 LAMal , en l'absence d'une convention tarifaire. L'examen radiologique qui est à l'origine du litige ayant eu lieu le 15 avril 1996, la contestation doit être tranchée à la lumière du nouveau droit ( art. 103 al. 1 LAMal a contrario).</w:t>
      </w:r>
    </w:p>
    <w:p>
      <w:r>
        <w:rPr>
          <w:b/>
        </w:rPr>
        <w:t>E. 2</w:t>
      </w:r>
    </w:p>
    <w:p>
      <w:r>
        <w:t>Il convient tout d'abord de déterminer la voie de droit à suivre dans un tel cas. Selon la jurisprudence développée sous l'empire de la LAMA, lorsqu'un assuré avait une contestation avec une caisse-maladie sur l'application d'un tarif, il pouvait ou bien saisir le tribunal cantonal des assurances ( art. 30 et 30bis LAMA ) ou bien requérir la caisse de saisir le tribunal arbitral ( art. 25 al. 3 LAMA ) d'une action dirigée contre le médecin dont la note était contestée ( ATF 97 V 20 ; RAMA 1995 no K 971 p. 181 consid. 2). Ce système juridictionnel n'a pas été modifié par la LAMal. En particulier, les deux voies de droit (recours devant le tribunal cantonal des assurances et action devant le tribunal arbitral) ont été maintenues (cf. les art. 86 et 89 LAMal ). Dès lors, la jurisprudence précitée conserve toute sa valeur dans le cadre du nouveau droit. Aussi est-ce à bon droit que le Tribunal administratif du canton de Genève est entré en matière sur le recours de l'assurée.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