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104</w:t>
      </w:r>
    </w:p>
    <w:p>
      <w:r>
        <w:t>Bundesgericht (BGE), 1998-02-24, FR</w:t>
      </w:r>
    </w:p>
    <w:p>
      <w:r>
        <w:rPr>
          <w:b/>
        </w:rPr>
        <w:t xml:space="preserve">Quelle: </w:t>
      </w:r>
      <w:r>
        <w:t>https://mcp.opencaselaw.ch/entscheid/bge_BGE_124_V_104</w:t>
      </w:r>
    </w:p>
    <w:p>
      <w:r>
        <w:t>FR: ATF 124 V 104</w:t>
      </w:r>
    </w:p>
    <w:p>
      <w:r>
        <w:t>IT: DTF 124 V 104</w:t>
      </w:r>
    </w:p>
    <w:p>
      <w:pPr>
        <w:pStyle w:val="Heading2"/>
      </w:pPr>
      <w:r>
        <w:t>Regeste</w:t>
      </w:r>
    </w:p>
    <w:p>
      <w:r>
        <w:t>Regeste Art. 642 Abs. 3 OR; Art. 81 Abs. 3, Art. 117 Abs. 3, Art. 200 Abs. 1 AHVV. Besitzt ein einer Verbandsausgleichskasse angeschlossener Arbeitgeber eine oder mehrere Zweigniederlassungen in anderen Kantonen als in demjenigen des Hauptsitzes, ist ein alternativer Gerichtsstand mit Art. 200 Abs. 1 AHVV vereinbar (Präzisierung der Rechtsprechung).</w:t>
      </w:r>
    </w:p>
    <w:p>
      <w:r>
        <w:t>Regeste Art. 642 al. 3 CO; art. 81 al. 3, art. 117 al. 3, art. 200 al. 1 RAVS. Un for alternatif est compatible avec l'art. 200 al. 1 RAVS, dans l'éventualité où un employeur affilié à une caisse de compensation professionnelle possède une ou plusieurs succursales situées dans d'autres cantons que celui du siège principal (précision de jurisprudence).</w:t>
      </w:r>
    </w:p>
    <w:p>
      <w:r>
        <w:t>Regesto Art. 642 cpv. 3 CO; art. 81 cpv. 3, art. 117 cpv. 3, art. 200 cpv. 1 OAVS. Un foro alternativo è compatibile con l'art. 200 cpv. 1 OAVS nell'evenienza in cui un datore di lavoro affiliato a una cassa di compensazione professionale possieda una o più succursali situate in cantoni diversi da quello in cui è ubicata la sede principale (precisazione della giurisprudenza).</w:t>
      </w:r>
    </w:p>
    <w:p>
      <w:pPr>
        <w:pStyle w:val="Heading2"/>
      </w:pPr>
      <w:r>
        <w:t>Erwägungen</w:t>
      </w:r>
    </w:p>
    <w:p>
      <w:r>
        <w:rPr>
          <w:b/>
        </w:rPr>
        <w:t>E. 1</w:t>
      </w:r>
    </w:p>
    <w:p>
      <w:r>
        <w:t>Il s'agit de déterminer si la caisse recourante pouvait saisir le juge (vaudois) d'une demande en réparation du dommage fondée sur les art. 52 LAVS et 81 al. 3 RAVS au for de la succursale, ou si elle devait porter le cas devant le juge (genevois), au for de l'établissement principal.</w:t>
      </w:r>
    </w:p>
    <w:p>
      <w:r>
        <w:rPr>
          <w:b/>
        </w:rPr>
        <w:t>E. 2</w:t>
      </w:r>
    </w:p>
    <w:p>
      <w:r>
        <w:t>Aux termes de l' art. 642 al. 1 CO , les succursales sont inscrites sur le registre du commerce du lieu où elles ont leur siège, avec référence à l'inscription de l'établissement principal. D'après le troisième alinéa de cette disposition légale, l'inscription crée, pour les affaires de la succursale, un for à son siège, en sus du for de l'établissement principal ( ATF 117 II 87 consid. 3 et les références). Une affaire est une affaire de la succursale lorsqu'elle est dans un rapport suffisant avec l'activité de la succursale (SIEGWART, Commentaire zurichois, n. 35 ad art. 642 CO ; FORSTMOSER/MEIER-HAYOZ/NOBEL, Schweizerisches Aktienrecht, par. 59, n. 64); un tel rapport existe pour les affaires qui sont en relation avec l'activité de la succursale et BGE 124 V 104 S. 106 servent à l'exécution des obligations de celle-ci, comme les contrats de travail conclus avec les collaborateurs de la succursale et les baux concernant les locaux ou les installations, même mobilières, de la succursale ( ATF 77 I 125 sv. consid. 3 in fine, 30 I 667 consid. 3 in fine; GAUCH, Der Zweigbetrieb im schweizerischen Zivilrecht, n. 1977 p. 439 sv.; DE STEIGER, Le droit des sociétés anonymes en Suisse, p. 351 in fine). Cette disposition légale s'applique par analogie en droit public (arrêt non publié du Tribunal fédéral du 30 janvier 1995 en la cause G.)</w:t>
      </w:r>
    </w:p>
    <w:p>
      <w:r>
        <w:rPr>
          <w:b/>
        </w:rPr>
        <w:t>E. 3</w:t>
      </w:r>
    </w:p>
    <w:p>
      <w:r>
        <w:t>En vertu des art. 64 al. 2 LAVS et 117 al. 2 RAVS, les employeurs qui ne sont pas membres d'une association fondatrice sont affiliés à la caisse de compensation de leur canton de domicile ou du canton dans lequel l'entreprise a son siège. La deuxième phrase de l' art. 117 al. 2 RAVS précise que si le domicile ou le siège et le lieu de l'administration ou de l'entreprise sont différents, le lieu où est située l'administration, l'entreprise ou une partie importante de l'entreprise peut être choisi d'entente entre les caisses de compensation intéressées. Quant aux succursales, elles sont affiliées à la même caisse que l'établissement principal mais, en cas de circonstances particulières, l'OFAS peut autoriser des dérogations ( art. 117 al. 3 RAVS ; ATF 110 V 359 consid. 5b et la référence). Selon l' art. 200 al. 1 RAVS , est compétente pour connaître d'un recours l'autorité de recours du canton dans lequel le recourant était domicilié, séjournait ou avait son siège lorsque la décision attaquée a été prise. Quant à l' art. 200 al. 4 RAVS , il dispose que l'autorité compétente pour connaître des recours interjetés contre des décisions d'une caisse de compensation cantonale est cependant dans tous les cas l'autorité de recours du canton dont relève la caisse cantonale en question. La jurisprudence a laissé ouvert le point de savoir si la réglementation ( art. 200 al. 1 RAVS ) permet d'envisager un for alternatif, dans l'éventualité où un employeur affilié à une caisse de compensation professionnelle possède une ou plusieurs succursales situées dans d'autres cantons que celui du siège principal ( ATF 110 V 360 consid. 5c).</w:t>
      </w:r>
    </w:p>
    <w:p>
      <w:r>
        <w:rPr>
          <w:b/>
        </w:rPr>
        <w:t>E. 4</w:t>
      </w:r>
    </w:p>
    <w:p>
      <w:r>
        <w:t>Dans son préavis, l'OFAS préconise de ne retenir le for de la succursale que dans l'hypothèse où celle-ci est affiliée à une autre caisse de compensation que l'établissement principal, en vertu de l' art. 117 al. 3 RAVS BGE 124 V 104 S. 107 ( ATF 116 V 312 ss consid. 4 et ATF 101 V 35 ). L'autorité fédérale de surveillance propose de renvoyer la cause aux premiers juges afin qu'ils instruisent sur ce point. En l'espèce, il ressort du dossier que la succursale vaudoise de la société M. SA était affiliée à la Caisse de compensation de la Fédération vaudoise des entrepreneurs; mais en revanche, comme l'OFAS le fait observer à juste titre, on ne sait pas à quelle caisse était affilié l'établissement principal de Genève. On pourrait, à la rigueur, renoncer à le déterminer - et admettre la compétence du juge vaudois sur la base de ce seul élément - si l'intimé R. n'avait indirectement soulevé la question de la compétence ratione loci dans son opposition à la décision du 8 février 1996, en écrivant "qu'il existe d'ores et déjà une procédure en cours pour M. SA, avec la Caisse de compensation de la SSE de Genève". La solution proposée par l'OFAS est judicieuse et peut être approuvée, de sorte qu'on peut désormais répondre par l'affirmative à la question laissée indécise au consid. 5c in fine de l'arrêt ATF 110 V 351 (cf. consid. 3 in fine, ci-dessus). En conséquence, il y a lieu d'annuler le jugement attaqué et de renvoyer la cause au Tribunal des assurances du canton de Vaud pour qu'il complète l'instruction sur ce point, dans le sens proposé par l'OFAS.</w:t>
      </w:r>
    </w:p>
    <w:p>
      <w:r>
        <w:rPr>
          <w:b/>
        </w:rPr>
        <w:t>E. 5</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