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5</w:t>
      </w:r>
    </w:p>
    <w:p>
      <w:r>
        <w:t>Bundesgericht (BGE), 1997-01-01, DE</w:t>
      </w:r>
    </w:p>
    <w:p>
      <w:r>
        <w:rPr>
          <w:b/>
        </w:rPr>
        <w:t xml:space="preserve">Quelle: </w:t>
      </w:r>
      <w:r>
        <w:t>https://mcp.opencaselaw.ch/entscheid/bge_BGE_124_IV_5</w:t>
      </w:r>
    </w:p>
    <w:p>
      <w:r>
        <w:t>FR: ATF 124 IV 5</w:t>
      </w:r>
    </w:p>
    <w:p>
      <w:r>
        <w:t>IT: DTF 124 IV 5</w:t>
      </w:r>
    </w:p>
    <w:p>
      <w:pPr>
        <w:pStyle w:val="Heading2"/>
      </w:pPr>
      <w:r>
        <w:t>Regeste</w:t>
      </w:r>
    </w:p>
    <w:p>
      <w:r>
        <w:t>Regeste Art. 71 Abs. 2 StGB und Art. 140 Ziff. 1 aStGB; Zusammenfassung mehrerer Veruntreuungen zu einer verjährungsrechtlichen Einheit. Ob ein andauerndes pflichtwidriges Verhalten anzunehmen ist, kann nur im konkreten Fall beurteilt werden. Dabei kommt auch den konkreten Umständen des Sachverhalts Bedeutung zu (E. 2b). Wer als Finanzverantwortlicher in regelmässigen Abständen über lange Zeit hinweg ihm von seinem Arbeitgeber zur Verwaltung anvertraute Geldbeträge veruntreut, handelt andauernd pflichtwidrig. Seine Straftaten bilden eine verjährungsrechtliche Einheit (E. 3a).</w:t>
      </w:r>
    </w:p>
    <w:p>
      <w:r>
        <w:t>Regeste Art. 71 al. 2 CP et art. 140 ch. 1 aCP; réunion de plusieurs abus de confiance en une seule entité du point de vue de la prescription. Savoir si l'on se trouve en présence d'un comportement durablement contraire au droit ne peut être tranché qu'en fonction du cas concret. Pour cela, il y a aussi lieu de tenir compte des circonstances concrètes de l'état de fait (consid. 2b). Celui qui, comme responsable financier, détourne à des intervalles réguliers pendant une longue durée des sommes d'argent qui lui ont été confiées par son employeur pour qu'il les gère, agit de manière durablement contraire au droit. Ses actes forment une unité du point de vue de la prescription (consid. 3a).</w:t>
      </w:r>
    </w:p>
    <w:p>
      <w:r>
        <w:t>Regesto Art. 71 cpv. 2 CP e art. 140 n. 1 vCP; riunione di più appropriazioni indebite in una sola entità sotto il profilo della prescrizione. Se sussista un comportamento durevolmente contrario ad un dovere può essere valutato solo nel caso concreto. A tale riguardo va anche tenuto conto delle circostanze concrete della fattispecie (consid. 2b). Chi, in qualità di responsabile delle finanze, si appropria ad intervalli regolari durante un lungo periodo delle somme di denaro affidategli dal datore di lavoro per essere amministrate, agisce in modo durevolmente contrario ai suoi doveri. I suoi atti costituiscono un'unità sotto il profilo della prescrizione (consid. 3a).</w:t>
      </w:r>
    </w:p>
    <w:p>
      <w:pPr>
        <w:pStyle w:val="Heading2"/>
      </w:pPr>
      <w:r>
        <w:t>Erwägungen</w:t>
      </w:r>
    </w:p>
    <w:p>
      <w:r>
        <w:rPr>
          <w:b/>
        </w:rPr>
        <w:t>E. 1</w:t>
      </w:r>
    </w:p>
    <w:p>
      <w:r>
        <w:t>Der Beschwerdeführer rügt, die Vorinstanz habe Bundesrecht in bezug auf die strafrechtliche Verjährung verletzt. Für den Fall, dass das Bundesgericht dieser Auffassung folgen sollte, stellt er sich auf den Standpunkt, dass auch die geltend gemachte Schadenersatzforderung teilweise verjährt sei und die Strafzumessung überprüft werden müsse. Somit ist zunächst zu prüfen, ob die Annahme der Vorinstanz, die dem Beschwerdeführer vorgeworfenen Handlungen seien auch nicht teilweise verjährt, Bundesrecht verletzt.</w:t>
      </w:r>
    </w:p>
    <w:p>
      <w:r>
        <w:rPr>
          <w:b/>
        </w:rPr>
        <w:t>E. 2</w:t>
      </w:r>
    </w:p>
    <w:p>
      <w:r>
        <w:t>a) Der Beschwerdeführer wurde wegen einfacher Veruntreuung gemäss Art. 140 aStGB schuldig erklärt. Nach der früheren Fassung des Gesetzes stellte die Veruntreuung ein Vergehen dar. Die relative Verjährungsfrist für die Strafverfolgung betrug danach gemäss Art. 70 Abs. 3 aStGB 5 Jahre; die absolute Verjährung trat nach Ablauf von 7 1/2 Jahren ein ( Art. 72 Ziff. 2 Abs. 2 StGB ). Mit der Gesetzesänderung vom 17. Juni 1994, in Kraft seit 1. Januar 1995, wurden sowohl Art. 70 Abs. 2 StGB wie auch der Strafrahmen der Veruntreuung geändert. Nach der neuen Fassung des Gesetzes verjährt die Strafverfolgung für den Tatbestand der Veruntreuung gemäss Art. 138 Ziff. 1 StGB neu nach Ablauf einer relativen Frist von 10 Jahren, in jedem Fall aber nach Ablauf einer solchen von 15 Jahren (Art. 70 Abs. 2, Art. 72 Ziff. 2 Abs. 2). Der Tatbestand der Urkundenfälschung ist sowohl nach der alten wie auch nach der BGE 124 IV 5 S. 7 neuen Fassung des Gesetzes stets ein Verbrechen mit den entsprechenden verjährungsrechtlichen Konsequenzen. b) Gemäss Art. 71 Abs. 2 StGB beginnt die Verjährung, wenn der Täter die strafbare Tätigkeit zu verschiedenen Zeiten ausführt, mit dem Tag, an dem er die letzte Tätigkeit ausführt. Die frühere Rechtsprechung entschied die Frage, wann die zu verschiedenen Zeiten ausgeführte strafbare Tätigkeit als Einheit zu betrachten sei, bei der die Verjährung für alle Einzelhandlungen erst mit der letzten Tat zu laufen beginnt, nach den Voraussetzungen des fortgesetzten, aber auch des gewerbsmässigen Delikts ( BGE 117 IV 408 E. 2f/aa mit Hinweisen). Danach wurden mehrere gleichartige oder ähnliche strafbare Handlungen rechtlich zu einer Tateinheit zusammengefasst, wenn sie gegen dasselbe Rechtsgut gerichtet und auf ein und denselben Willensentschluss zurückzuführen waren ( BGE 102 IV 77 E. 2a mit Hinweisen). Nach Aufgabe der Rechtsfigur des fortgesetzten Delikts mit BGE 117 IV 408 hat sich das Bundesgericht verschiedentlich dazu geäussert, unter welchen Voraussetzungen eine Mehrzahl selbständiger strafbarer Handlungen unter dem Gesichtspunkt des Verjährungsbeginns nach Art. 71 Abs. 2 StGB als ein Ganzes betrachtet und somit zu einer verjährungsrechtlichen Einheit zusammengefasst werden darf. Nach der neueren Rechtsprechung ist dies in den Sachbereichen, in denen das fortgesetzte Delikt bisher Anwendung gefunden hat, gesondert und ausschliesslich nach objektiven Kriterien zu beurteilen. Der subjektive Gesichtspunkt des Gesamtvorsatzes fällt mithin ausser Betracht ( BGE 117 IV 408 E. 2f/bb). Verschiedene strafbare Handlungen bilden danach gemäss Art. 71 Abs. 2 StGB dann eine Einheit, wenn sie gleichartig und gegen dasselbe Rechtsgut gerichtet sind und - ohne dass bereits ein Dauerdelikt im Sinne von Art. 71 Abs. 3 StGB gegeben wäre - ein andauerndes pflichtwidriges Verhalten bilden. Unter welchen Voraussetzungen ein solches andauernd pflichtwidriges Verhalten anzunehmen ist, lässt sich indes nicht abschliessend in einer abstrakten Formel umschreiben, sondern kann nur im konkreten Fall beurteilt werden, wobei sich der Richter von Sinn und Zweck der Verjährung leiten zu lassen hat. Dabei können auch die konkreten Umstände des Sachverhalts Bedeutung erlangen (PIETH, Die verjährungsrechtliche Einheit gemäss Art. 71 Abs. 2 StGB bei Bestechungsdelikten, BJM 1996, S. 63 f. mit Bezug auf BGE 120 IV 6 E. 2c/cc, S. 10). In jedem Fall muss die andauernde Pflichtverletzung aber vom in Frage stehenden gesetzlichen Straftatbestand ausdrücklich oder sinngemäss mitumfasst sein ( BGE 117 IV 408 E. 2f/bb, BGE 124 IV 5 S. 8 BGE 120 IV 6 E. 2b und c mit Nachweisen). In seiner bisherigen Rechtsprechung bejahte das Bundesgericht die Verbindung mehrerer strafbarer Einzelhandlungen zu einer verjährungsrechtlichen Einheit bei der ungetreuen Geschäftsführung ( BGE 117 IV 408 ), bei gewohnheitsmässiger Widerhandlung gegen das Zollgesetz ( BGE 119 IV 73 ) und bei sexuellen Handlungen mit Kindern ( BGE 120 IV 6 ), verneinte eine solche hingegen bei der Annahme von Geschenken ( BGE 118 IV 309 ) sowie bei der üblen Nachrede ( BGE 119 IV 199 E. 2). In bezug auf den Beginn der Strafantragsfrist bei Vernachlässigung von Unterhaltspflichten nahm es an, wenn der Pflichtige während einer gewissen Zeit und ohne Unterbrechung schuldhaft die Zahlung der Unterhaltsbeiträge unterlasse, beginne die Antragsfrist erst mit der letzten schuldhaften Unterlassung zu laufen ( BGE 118 IV 325 E. 2b).</w:t>
      </w:r>
    </w:p>
    <w:p>
      <w:r>
        <w:rPr>
          <w:b/>
        </w:rPr>
        <w:t>E. 3</w:t>
      </w:r>
    </w:p>
    <w:p>
      <w:r>
        <w:t>a) Die strafbaren Handlungen des Beschwerdeführers erfüllen alle den gleichen gesetzlichen Tatbestand der Veruntreuung und sind damit gleichartig. Die Veruntreuungen betrafen zudem ausnahmslos Geldbeträge, die dem Beschwerdeführer vom Beschwerdegegner zur Verwaltung anvertraut waren, und richteten sich somit gegen dasselbe Rechtsgut. Der Beschwerdeführer macht jedoch geltend, sein Verhalten sei mangels Verletzung einer besonderen strafrechtlichen Fürsorgepflicht nicht andauernd pflichtwidrig gewesen. Entgegen der Auffassung des Beschwerdeführers hat die Vorinstanz ein andauerndes pflichtwidriges Verhalten zu Recht bejaht. Sie nahm in dieser Hinsicht zutreffend an, der Beschwerdeführer habe als Finanzverantwortlicher die andauernde Pflicht gehabt, die pekuniären Interessen des Beschwerdegegners zu wahren, und sei damit auch für die Verhinderung oder jedenfalls Begrenzung einer Schädigung derselben verantwortlich gewesen. Es habe ihn daher eine erhöhte Sorgfaltspflicht getroffen. In Übereinstimmung mit der Vorinstanz ergibt sich das andauernde pflichtwidrige Verhalten zudem auch aus der Regelmässigkeit und Konstanz, mit der er von 1977 bis 1993 jährlich ein bis zweimal delinquierte. Da der Beschwerdeführer nach den verbindlichen tatsächlichen Feststellungen der Vorinstanz ( Art. 277bis Abs. 1 BStP ) die letzte strafbare Handlung am 5.5.1993 ausführte, war diese somit im Zeitpunkt der Ausfällung des angefochtenen Urteils, mit dem die Strafverfolgung beendet wurde ( BGE 121 IV 64 E. 2 mit Hinweisen), noch nicht verjährt. Bei dieser Sachlage hat die Vorinstanz kein Bundesrecht verletzt, wenn sie die vom Beschwerdeführer begangenen Veruntreuungen und Urkundenfälschungen zu einer verjährungsrechtlichen BGE 124 IV 5 S. 9 Einheit zusammenfasste und die Strafverfolgung hinsichtlich sämtlicher strafbaren Handlungen als nicht verjährt ansah. b) Bei dieser Sachlage besteht kein Anlass, die Frage der teilweisen Verjährung der Schadenersatzforderung sowie die Strafzumessung der Vorinstanz zu überprüfen, da der Beschwerdeführer dies nur eventualiter für den Fall beantragt, dass er mit seinem Hauptantrag durchdringt. Die Beschwerde erweist sich somit als unbegründet.</w:t>
      </w:r>
    </w:p>
    <w:p>
      <w:r>
        <w:rPr>
          <w:b/>
        </w:rPr>
        <w:t>E. 4</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