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193</w:t>
      </w:r>
    </w:p>
    <w:p>
      <w:r>
        <w:t>Bundesgericht (BGE), 1998-01-01, DE</w:t>
      </w:r>
    </w:p>
    <w:p>
      <w:r>
        <w:rPr>
          <w:b/>
        </w:rPr>
        <w:t xml:space="preserve">Quelle: </w:t>
      </w:r>
      <w:r>
        <w:t>https://mcp.opencaselaw.ch/entscheid/bge_BGE_124_IV_193</w:t>
      </w:r>
    </w:p>
    <w:p>
      <w:r>
        <w:t>FR: ATF 124 IV 193</w:t>
      </w:r>
    </w:p>
    <w:p>
      <w:r>
        <w:t>IT: DTF 124 IV 193</w:t>
      </w:r>
    </w:p>
    <w:p>
      <w:pPr>
        <w:pStyle w:val="Heading2"/>
      </w:pPr>
      <w:r>
        <w:t>Regeste</w:t>
      </w:r>
    </w:p>
    <w:p>
      <w:r>
        <w:t>Regeste Art. 38 StGB; bedingte Entlassung.Die bedingte Entlassung ist die Regel, von der nur aus guten Gründen abgewichen werden kann (E. 4d; Bestätigung der Rechtsprechung). Bei zeitlich befristeten Freiheitsstrafen ist die Gefährlichkeit des Täters zu beurteilen und ob diese bei einer allfälligen Vollverbüssung der Strafe abnehmen, gleich bleiben oder zunehmen wird. Zudem ist zu prüfen, ob die bedingte Entlassung mit der Möglichkeit von Auflagen und Schutzaufsicht eher zu einer Resozialisierung des Täters führt als die Vollverbüssung der Strafe (E. 4d/aa/bb; Weiterentwicklung der Rechtsprechung).Anwendung dieser Grundsätze auf den konkreten Fall und Einzelfragen (E. 5b).</w:t>
      </w:r>
    </w:p>
    <w:p>
      <w:r>
        <w:t>Regeste Art. 38 CP; libération conditionnelle.La libération conditionnelle constitue la règle, de laquelle il ne convient de s'écarter que pour de bonnes raisons (consid. 4d; confirmation de jurisprudence). S'agissant des peines privatives de durée limitée, il faut 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(consid. 4d/aa/bb; développement de la jurisprudence).Application de ces principes au cas concret et questions d'espèce (consid. 5b).</w:t>
      </w:r>
    </w:p>
    <w:p>
      <w:r>
        <w:t>Regesto Art. 38 CP; liberazione condizionale.La liberazione condizionale costituisce la regola da cui ci si può scostare solo per buoni motivi (consid. 4d; conferma della giurisprudenza). Trattandosi di pene privative della libertà di durata limitata, vanno esaminate la pericolosità dell'agente e la questione se quest'ultima diminuirà, rimarrà invariata o aumenterà nel caso in cui la pena fosse scontata completamente. Deve inoltre essere determinato se la liberazione condizionale, eventualmente accompagnata da norme di condotta e da un patronato, non sia più favorevole alla risocializzazione dell'agente che l'esecuzione completa della pena (consid. 4d/aa/bb; sviluppo della giurisprudenza). Applicazione di questi principi alla fattispecie e singole questioni (consid. 5b).</w:t>
      </w:r>
    </w:p>
    <w:p>
      <w:pPr>
        <w:pStyle w:val="Heading2"/>
      </w:pPr>
      <w:r>
        <w:t>Erwägungen</w:t>
      </w:r>
    </w:p>
    <w:p>
      <w:r>
        <w:rPr>
          <w:b/>
        </w:rPr>
        <w:t>E. 3</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Die bedingte Entlassung ist die vierte Stufe des Strafvollzugs und deshalb in der Regel anzuordnen. Davon darf nur aus guten Gründen abgewichen werden. Wie bei der Zubilligung des bedingten Strafvollzuges ist auch bei der bedingten Entlassung für die Beurteilung des künftigen Wohlverhaltens eine Gesamtwürdigung durchzuführen, um BGE 124 IV 193 S. 195 eine möglichst zuverlässige Grundlage für die Prognose zu erhalten. Es sind somit das gesamte Vorleben, die Täterpersönlichkeit, das deliktische und sonstige Verhalten des Täters zu untersuchen.Es genügt, dass das Verhalten des Verurteilten während des Strafvollzuges nicht gegen die vorzeitige Entlassung spricht. Man kann sich fragen, ob das Verhalten während des Vollzuges überhaupt noch ein selbständiges Entscheidungskriterium oder nicht vielmehr bloss ein Umstand ist, der bei der Gesamtwürdigung zu berücksichtigen ist ( BGE 119 IV 5 E. 1a/aa mit Hinweisen). Welche Art von Delikt zur Freiheitsstrafe geführt hat, ist an sich für die Prognose nicht entscheidend.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 BGE 98 Ib 106 E. 1b; BGE 119 IV 5 E. 1b)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tragen.Im Rahmen der Gesamtwürdigung sind neben dem Vorleben und der Persönlichkeit vor allem die neuere Einstellung, der Grad der Reife einer allfälligen Besserung und die nach der Entlassung zu erwartenden Lebensverhältnisse des Täters zu prüfen.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 ( BGE 103 Ib 27 ; BGE 104 IV 281 ; BGE 119 IV 5 E. 1 und 2 mit Hinweisen). BGE 124 IV 193 S. 196</w:t>
      </w:r>
    </w:p>
    <w:p>
      <w:r>
        <w:rPr>
          <w:b/>
        </w:rPr>
        <w:t>E. 4</w:t>
      </w:r>
    </w:p>
    <w:p>
      <w:r>
        <w:t>a) In der Literatur besteht Einigkeit über die Schwierigkeit, im Einzelfall eine verlässliche Prognose zu stellen (STRATENWERTH, Schweizerisches Strafrecht, Allgemeiner Teil II, S. 88 N. 49 und S. 93 N. 61; SCHULTZ, Einführung in den Allgemeinen Teil des Strafrechts II, 4. Auflage, S. 61; REHBERG, Strafrecht II, 6. Auflage, S.44 lit. c; TRECHSEL, Schweizerisches Strafgesetzbuch, Kurzkommentar, Art. 38 N. 6; LOGOZ, Commentaire du Code Pénal Suisse, S. 217 f.; MICHEL GRABER, La libération conditionelle à l'épreuve du fédéralisme, Kriminologisches Bulletin 13/1987, S. 12; FRANÇOIS STRASSER, La libération conditionnelle entre le rite et l'innovation, in: La libération conditionnelle: risque ou chance?, Bâle et Francfort-sur-le-Main 1994, S. 154 ff.; WOLFGANG FRISCH, Dogmatische Grundfragen der bedingten Entlassung und der Lockerungen des Vollzugs von Strafen und Massregeln, ZStrW 102/1990, S. 708). Dies gilt insbesondere für den weitaus grössten Teil der Strafgefangenen, bei denen nicht sämtliche möglichen Beurteilungsmerkmale klarerweise entweder für oder gegen eine günstige Prognose sprechen. Der Grund für diese Schwierigkeit liegt - abgesehen von der jeder Prognose anhaftenden Ungenauigkeit - einerseits in der gesetzlichen Formulierung, die den Regelungsinhalt mit unbestimmten Gesetzesbegriffen umschreibt (wenn das Verhalten des Verurteilten während des Strafvollzuges nicht gegen die bedingte Entlassung spricht und anzunehmen ist, er werde sich in der Freiheit bewähren), und anderseits in der spärlichen dogmatischen Durchdringung dieser Problematik in der Literatur. FRISCH (a.a.O., S. 707 ff.) leuchtet - für das deutsche Recht (insbesondere § 57 Abs. 1 StGB ) und z.T. unter Hinweis auf die Schweizer Rechtsprechung und Lehre - die Problematik von Prognoseentscheiden aus und zeigt Leitlinien, die den Entscheidungsvorgang versachlichen können. Seine Darlegungen haben im Wesentlichen auch für die Schweiz ihre Gültigkeit. Besonders prüfenswert ist sein Vorschlag, im Sinne einer umfassenden risikoorientierten Sicht seien die Vorzüge und Nachteile der Vollverbüssung der Strafe denjenigen einer Aussetzung eines Strafrestes gegenüberzustellen. b) Die empirische Untersuchung in den französisch-sprachigen Kantonen (mit Ausnahme des Kantons Wallis) über die bedingte Entlassung von Strafgefangenen und ihre allfällige Rückversetzung im Jahr 1990 (La libération conditionnelle: risque ou chance?, Bâle et Francfort-sur-le-Main 1994) zeitigte unter anderem folgende Ergebnisse: BGE 124 IV 193 S. 197 Im Kanton Genf sei die bedingte Entlassung im Sinne des Stufenstrafvollzuges konsequent als vierte und letzte Stufe ausgestaltet. Die Strafgefangenen kämen praktisch automatisch in den Genuss einer positiven Vormeinung und damit auch der bedingten Entlassung. Nur in schwerwiegenden Fällen (bei früherer Rückversetzung) oder besonders komplexen werde eine eingehendere Prognoseabklärung vorgenommen mit der Möglichkeit, dass die bedingte Entlassung verweigert werde (9%). Demgegenüber erscheine die bedingte Entlassung im Kanton Waadt als eine vom Stufenstrafvollzug unabhängige Einrichtung. Insbesondere Rückfälligen werde die bedingte Entlassung nur sehr zurückhaltend gewährt (35%). Diese Praxis diene damit vor allem der Generalprävention: Der Entscheid der kantonalen Behörde orientiere sich am «Risiko», und die Gewährung oder Verweigerung der bedingten Entlassung erscheine einerseits als Disziplinarinstrument gegenüber den Strafgefangenen und anderseits als Mittel, um die öffentliche Sicherheit zu wahren (MASSIMO SARDI, Pratique de la libération conditionelle, in: La libération ..., S. 134 ff; vergleichbar wie im Kanton Genf sei die Situation in den Kantonen Neuenburg, Freiburg und Jura, a.a.O., S. 133 Fn 32). Dieselbe Untersuchung förderte aber nicht nur massive kantonale Unterschiede in der Zweckausrichtung der bedingten Entlassung zu Tage, sondern teilweise auch Praktiken, welche entweder die heute gültigen gesetzlichen Voraussetzungen gar nicht prüften oder sich auf Bedingungen des alten Rechts wie auch auf solche des Revisionsentwurfs stützten (FRANÇOIS STRASSER, a.a.O., S. 137 ff., insbesondere S. 140 f.). Abschliessend wird - im Sinne einer Wiederaufwertung der bedingten Entlassung - gefordert: eine wirksame gerichtliche Überprüfungsmöglichkeit im Kanton, eine signifikante Herabsetzung der unterschiedlichen Beurteilungen durch die Kantone sowie eine Verbesserung der Begründung der Entscheide (ROBERT ROTH, Perspectives, in: La libération ..., S. 203 ff., insbesondere S. 208). c) Diese Forderungen sind zwischenzeitlich zumindest teilweise erfüllt. Durch Art. 98a OG sind die Kantone verpflichtet worden, bis spätestens zum 15. Februar 1997 (Ziff. 1 Abs. 1 SchlB der Änderung vom 4. Oktober 1991) unter anderem im Verfahren der bedingten Entlassung und der Rückversetzung als letzte kantonale Beschwerdeinstanzen richterliche Behörden zu bestellen. Zudem hat das Bundesgericht die Waadtländer Praxis mehrmals als bundesrechtswidrig beanstandet, unter anderem auch wegen der unzureichenden Begründung ( BGE 119 IV 5 ). BGE 124 IV 193 S. 198 d) Wie oben erwähnt und wie das Bundesgericht in BGE 119 IV 5 E. 2 bestätigt hat, stellt die bedingte Entlassung in der Ausgestaltung des Art. 38 StGB die vierte und letzte Etappe des Stufenstrafvollzugs dar, worüber auch in der Schweizer Literatur Einigkeit besteht (SCHULTZ, a.a.O., S. 58; LOGOZ, a.a.O., S. 214; STRATENWERTH, a.a.O., S. 87 N. 46; TRECHSEL, a.a.O., Art. 38 N. 1; GRABER, a.a.O., S. 9 f.). Sie erfüllt rein spezialpräventive Zwecke ( BGE 103 Ib 23 E. 1; STRATENWERTH, a.a.O., S. 88 N. 49) und bildet die Regel, von der nur aus guten Gründen abgewichen werden darf ( BGE 119 IV 5 E. 2). Welches sind nun aber diese «guten Gründe»? Betrachtet man die vom Bundesgericht in verschiedenen Entscheiden aufgestellten Kriterien (E. 3), so erhält man eine Liste von Merkmalen, die entweder eher für oder gegen die bedingte Entlassung sprechen. Der Entscheid darüber, welche Seite überwiegt, bleibt jedoch spekulativ. Wenn dieser aus naheliegenden Gründen (Prognose) schliesslich immer auch auf unsicheren Annahmen beruhen wird, muss er doch im Beurteilungsvorgang von sachlichen Anhaltspunkten getragen sein. aa) Die beiden gesetzlichen Voraussetzungen «das nicht gegen die bedingte Entlassung sprechende Verhalten des Verurteilten während des Strafvollzugs» und «die Annahme, er werde sich in Freiheit bewähren», können kurz als «günstige Prognose» umschrieben werden. Diese günstige Prognose steht aber im Spannungsfeld zwischen einerseits dem spezialpräventiven Imperativ der bedingten Entlassung als letzter Stufe des Strafvollzugs, da die Freiheit nur «in Freiheit» erlernt werden kann (STRASSER, a.a.O., S. 155 f), und anderseits dem Anspruch der Allgemeinheit auf Rechtsgüterschutz (FRANZ STRENG, Strafrechtliche Folgenorientierung und Kriminalprognose, in: Die Täter-Individualprognose, Hrsg. Dieter Dölling, Heidelberg 1995, S. 116 f.).Bei realistischer Betrachtung muss man in den meisten Fällen der Entscheidung über die bedingte Entlassung bei zeitlich befristeten Freiheitsstrafen (d.h. dort, wo der Sachrichter keine Verwahrung angeordnet hat) annehmen, dass sich am Zustand, in dem sich der Täter jetzt, nach Zwei-Drittel-Verbüssung, befindet, während des restlichen Drittels im Vollzug nicht mehr allzu viel ändern wird. Der vagen Hoffnung eines Fortfalls der Gefährlichkeit in dieser Zeit aus Gründen, die nicht sichtbar sind, steht mindestens gleichrangig die Verschärfung der Gefahr durch die Situation des Vollzugs und die Fernhaltung des Täters vom Leben in Freiheit gegenüber. Die weitere Verbüssung der Strafe taugt damit nicht zur Vermeidung BGE 124 IV 193 S. 199 etwaiger Straftaten. Sie taugt zwar allenfalls zur Vermeidung während der (restlichen) Zeit der Verbüssung, verschiebt im Übrigen das Problem möglicher Straftatenbegehung bloss auf einen späteren Zeitpunkt (FRISCH, a.a.O., S. 736) und schneidet zudem unter dem spezialpräventiven Aspekt späterer Legalbewährung am schlechtesten ab (KARL-LUDWIG KUNZ, Kriminologie, 2. Auflage, Bern 1998, § 31 N. 18). Zwar spielen auch bei dieser Überlegung gewisse prognostische und damit unsichere Elemente eine Rolle. Doch wird die konkrete Beantwortung wohl in den meisten Fällen relativ einfach sein, weil die Frage nach der Gefährlichkeit des Strafgefangenen nun nicht mehr mit derjenigen nach dessen Resozialisierung vermengt wird. bb) Anschliessend ist folgende Frage zu prüfen: Sollte die bedingte Entlassung in spezialpräventiver Hinsicht Vorteile in Gestalt einer möglichen dauerhaften Problemlösung oder -entschärfung bieten, die die Vollstreckung nicht bietet und deren man sich bei der Vollstreckung begibt, so ist die bedingte Entlassung gegenüber der ja in Wahrheit nicht problemlösenden, sondern das Problem nur zeitlich verschiebenden Verweigerung der bedingten Entlassung in all den Fällen vorzugswürdig, in denen diese Vorteile bestehen und ihre Wahrnehmung sinnvoll erscheint. In den Fällen, in denen die weitere Vollstreckung die Unfähigkeit des Täters zu einem normkonformen Leben in Freiheit nur noch zu verstärken droht, bietet die bedingte Entlassung in ihrer Verbindung mit sachgerechten Weisungen und der Stellung unter Schutzaufsicht die Möglichkeit, durch eine rechtzeitige, schrittweise Anpassung an das Leben in Freiheit solche Schäden zu vermeiden. Unabhängig davon bietet die bedingte Entlassung zwei andere allgemeine Vorteile. Da der bedingt Entlassene damit rechnen muss, bei bestimmtem Fehlverhalten (neuerlichen Taten, symptomatischen Verstössen gegen Weisungen) auch noch den ausgesetzten Strafrest verbüssen zu müssen, wird er bei dieser Lösung eher bereit sein, die ihm erteilten Weisungen einzuhalten und sich damit normkonform zu verhalten, als er dies nach verbüsster Strafe wäre. Zudem besteht in Fällen, in denen im Rahmen der bedingten Entlassung Probleme des Verurteilten im Umgang mit der Freiheit sichtbar werden, die Möglichkeit einer Krisenintervention durch die Rückversetzung und durch gezielte sozialtherapeutische Angebote zur Behebung oder Entschärfung dieser Probleme. Vergleichbare Möglichkeiten gibt es im Falle der Vollverbüssung weder in rein zeitlicher noch in verfahrensmässiger Hinsicht (FRISCH, a.a.O., S. 737 ff.; HANS-ULRICH MEIER, Strafvollzug BGE 124 IV 193 S. 200 im Spannungsfeld der öffentlichen Meinung, in: Recht, Macht und Gesellschaft, Zürich 1995, S. 99 f.; teilweise ebenso: STRATENWERTH, a.a.O., S. 95 N. 64). cc) Diese kurz dargestellten Leitlinien führen ganz allgemein zu einer Aufgliederung der Prognoseproblematik in verschiedene besser überschaubare Bestandteile, wodurch der spekulative Teil des Entscheidungsvorgangs eingeschränkt und damit auch vereinfacht wird. Eine derartige Versachlichung wird der zuständigen Behörde vermehrt Anhaltspunkte für ihren Entscheid und damit auch für die Begründung liefern, was sich in einer erhöhten Akzeptanz bei den Betroffenen, aber auch in einer leichteren Überprüfbarkeit bei einem allfälligen Weiterzug positiv niederschlagen wird. Die aufgezeigten Leitlinien werden zudem auf eine Vereinheitlichung der Praxis in den verschiedenen Kantonen hinwirken und so einen wichtigen Beitrag zur Rechtsgleichheit und Rechtssicherheit im Bereich der bedingten Entlassung leisten. Durch die aufgezeigte Handhabung erfährt die bedingte Entlassung gleichzeitig eine Aufwertung und Stärkung als vierte und letzte Etappe des Stufenstrafvollzugs, welche Aufgabe sie im Schweizer Recht unbestritten zu erfüllen hat.</w:t>
      </w:r>
    </w:p>
    <w:p>
      <w:r>
        <w:rPr>
          <w:b/>
        </w:rPr>
        <w:t>E. 5</w:t>
      </w:r>
    </w:p>
    <w:p>
      <w:r>
        <w:t>a) Die Vorinstanz verweist zunächst auf die Ausführungen der Kommission für bedingte Entlassung und des Staatsrats, wonach aufgrund des Vorlebens des Beschwerdeführers keine günstige Prognose gestellt werden könne. Nach ihnen handle es sich beim Beschwerdeführer um einen Berufsverbrecher, der seit 1972 keiner geregelten Arbeit mehr nachgehe, seinen Lebensunterhalt durch Straftaten bestreite und der seine Delikte jeweils rücksichtslos und ohne etwelche moralische Hemmungen begangen habe. Sie verwiesen auch auf die erneute deliktische Tätigkeit, die er an den Tag gelegt habe, nachdem er am 30. Mai 1995 von einem Urlaub nicht mehr in die Strafanstalt zurückgekehrt sei und die darauf schliessen lasse, dass er seinen Hang zum Delinquieren noch nicht aufgegeben habe. In gleichem Sinne werde auch das Verhalten des Beschwerdeführers gedeutet, der nach wie vor die Täterschaft und die persönliche Verantwortung für die Straftaten, für welche er im Strafvollzug stehe, leugne. Weiter führt die Vorinstanz aus, die Sachverhalte, die dieser Beurteilung zugrunde lägen, seien durch die lange Serie von Verurteilungen aktenmässig belegt und die Art und Weise, wie der Beschwerdeführer seine Verbrechen verübt habe, gehe aus den entsprechenden Urteilen hervor. Während der relativ kurzen Zeit, die er in den letzten dreissig Jahren in Freiheit verbracht habe, sei er nie einer BGE 124 IV 193 S. 201 geregelten Arbeit nachgegangen. Die Begründung des Staatsrats, dass der Beschwerdeführer nach jedem Strafvollzug wieder rückfällig geworden sei, und dass jemandem, der erstmals eine Strafe verbüsse, eher eine günstige Prognose gestellt werden könne als jemandem, der immer wieder rückfällig geworden sei, sei keineswegs abwegig.Wie die Einsichtigkeit bei der Strafzumessung als Kriterium berücksichtigt werden könne, sei es durchaus sinnvoll, dieselbe auch als Indiz für eine eingetretene Änderung der inneren Lebenseinstellung zu betrachten und deren Fehlen als mangelnde innere Änderung zu deuten. Da das Urteil des Walliser Kantonsgerichts vom 1. Juni 1994 in Rechtskraft erwachsen sei, sei die Täterschaft des Beschwerdeführers als erwiesen anzusehen. Wenn er nun einerseits ausführe, die Taten zu bereuen, wenn er sie tatsächlich begangen habe, anderseits aber bestreite, die fraglichen Taten begangen zu haben, so sei das nicht als Charakterfestigkeit auszulegen, sondern spreche gegen seine Einsichtigkeit. Auf eine fehlende Änderung seiner Lebenseinstellung weise auch die Nichtrückkehr in die Strafanstalt am 30. Mai 1995 hin. Zwar habe die Verteidigerin des Beschwerdeführers zugesichert, ihn in ihrer Anwaltskanzlei zu beschäftigen. Eine solche Abmachung müsse jedoch im Gesamtzusammenhang betrachtet werden. Der heute 56-jährige Beschwerdeführer sei gelernter Carrossier ohne kaufmännische oder weitergehende Ausbildung. Die Kenntnis einiger einschlägiger, ihn persönlich betreffender Rechtsnormen und das Abfassen von entsprechenden Rechtsschriften in der Haft, wo die Zeit unter dem Gesichtspunkt des Arbeitsaufwandes eine untergeordnete Rolle spiele, dürften nicht genügen, um die Arbeit als juristischer oder kaufmännischer Mitarbeiter in einer Anwaltskanzlei erfolgversprechend auszuüben. Dies mit der Folge, dass der Beschwerdeführer sich wohl eher als ein von seiner Rechtsvertreterin Unterstützter denn als vollwertiger Mitarbeiter fühlen müsste, was der Persönlichkeit des Beschwerdeführers - wie sie vom Gericht eingeschätzt werde - durchaus entgegenstehen könnte. Die gleichen Überlegungen gälten für die Wohngelegenheit bei seiner Cousine. Die beiden ersten Instanzen hätten deshalb nicht ohne Grund die Zusicherungen hinsichtlich Arbeitsplatz und Wohnung als zu vage beurteilt.An sich könnten das Alter des Beschwerdeführers und dessen gesundheitliche Probleme zu einer inneren Wandlung geführt haben und damit eine positive Prognose begünstigen. Neben den Zusicherungen seiner Vertreterin könne den Akten jedoch nichts entnommen BGE 124 IV 193 S. 202 werden, was auf eine Änderung der inneren Einstellung des Beschwerdeführers schliessen liesse. Selbst sein Schreiben vom 16. März 1998 an die Kommission stelle eine einzige Anklage dar, ohne auch nur ansatzweise einen Anhaltspunkt für die Einsicht in das Unrecht seiner Taten oder für ein künftig geändertes Verhalten zu liefern. Bei dieser Sach- und Rechtslage und im Hinblick auf die beschränkte Kognitionsbefugnis des Gerichts bleibe kein Raum, um den angefochtenen Entscheid aufzuheben und die bedingte Entlassung anzuordnen. Denn es genüge nicht, dass eine andere Lösung möglicherweise auch vertretbar wäre, um auf einen Ermessensmissbrauch oder ein Überschreiten des Ermessens zu schliessen. Die Beschwerde sei deshalb abzuweisen. b) Diese Begründung zur Verweigerung der bedingten Entlassung trägt den in Erwägung 4 hievor dargelegten Leitlinien nicht Rechnung und bedarf hinsichtlich der Gewichtung einzelner Beurteilungsmerkmale der Präzisierung. Deshalb ist der angefochtene Entscheid aufzuheben, um der Vorinstanz Gelegenheit zu geben, die Frage der bedingten Entlassung neu zu beurteilen. aa) Dabei wird die Vorinstanz davon ausgehen, dass die bedingte Entlassung als vierte und letzte Stufe des Strafvollzugs in der Regel anzuordnen ist, und sie wird berücksichtigen, dass der Beschwerdeführer eine zeitlich befristete Strafe verbüsst und, falls ihm die bedingte Entlassung verweigert wird, in etwas mehr als drei Jahren bedingungslos in die Freiheit entlassen werden muss. bb) Konkret wird die Vorinstanz die Gefährlichkeit, die heute vom Beschwerdeführer ausgeht, ihrem Ausmass nach zu beurteilen haben und ob diese Gefährlichkeit bei einer allfälligen Vollverbüssung der Strafe abnehmen, gleich bleiben oder zunehmen wird. Anschliessend sind Überlegungen darüber anzustellen, ob es zweckmässig ist, eine allfällige bedingte Entlassung mit Weisungen und/oder Schutzaufsicht zu verbinden, und ob eine so auf den Beschwerdeführer zugeschnittene bedingte Entlassung im Vergleich zur Vollverbüssung der Strafe spezialpräventiv vorzugswürdiger ist oder nicht. Zu den Einzelheiten kann auf Erwägung 4 und die dortigen Literaturstellen verwiesen werden. cc) Bei der Neubeurteilung wird die Vorinstanz von demjenigen Sachverhalt auszugehen haben, wie er sich dannzumal präsentieren wird. Insbesondere wird sie zu überprüfen haben, ob der Beschwerdeführer, wie er geltend macht, seit anfangs Juli 1998 zweimal wöchentlich alleine und unbeaufsichtigt für mehrere Stunden in die Stadt zur Therapie geht und inwieweit dies für den Prognoseentscheid BGE 124 IV 193 S. 203 von Bedeutung sei. Einer Abklärung bedürfen auch die Angaben des Beschwerdeführers, er sei zwar gelernter Carrossier aber mit fundierter kaufmännischer und weitergehender Ausbildung: 1961 habe er die Abendschule für Buchhaltung und Betriebsorganisation im Institut Avor-Ammann in Rorschach besucht und diese Ausbildung mit Diplom abgeschlossen; 1962 habe er einen Schreibmaschinenkurs besucht; 1967 bis 1969 habe er einen Kurs in Betriebsorganisation und Personalführung belegt und mit Diplom abgeschlossen; in der Zwischenzeit habe er gelernt, den Computer zu beherrschen, was aufgrund seiner zahlreichen selbstverfassten Eingaben bewiesen sei, und zudem habe er nicht nur ihn persönlich betreffende Eingaben verfasst. Falls sich diese Angaben bewahrheiten - das Verfassen von Rechtsschriften für Mitgefangene ist übrigens gerichtsnotorisch -, dürfte wohl auch die diesbezügliche vorinstanzliche Einschätzung anders ausfallen, da sie vom Gegenteil ausging. In diesem Zusammenhang ist zu erwähnen, dass die Kantonsgerichte Wallis und Jura in ihren Strafurteilen dem Beschwerdeführer angesichts seiner verschiedenen Rechtsschriften «bei weitem eine mittlere Intelligenz», «wenn nicht mehr» zubilligen. Der Beschwerdeführer legt weiter dar, er werde nach der bedingten Entlassung bei seiner Cousine wohnen, die ihn seit Jahren regelmässig besuche. Allenfalls hat die Vorinstanz auch insoweit Näheres abzuklären. dd) Die Vorinstanz nennt als erste gesetzliche Voraussetzung der bedingten Entlassung das Wohlverhalten in der Anstalt, das die beiden ersten Instanzen - so scheine es - beim Beschwerdeführer als erfüllt erachtet hätten; doch komme diesem Element keine selbständige Bedeutung mehr zu, sondern stelle vielmehr ein Beurteilungsmerkmal im Rahmen der Prognose dar. In der Folge wird das Wohlverhalten des Beschwerdeführers in der Anstalt nicht mehr erwähnt. Bei der Neubeurteilung wird sich die Vorinstanz darüber auszusprechen haben, ob dieses Element hinsichtlich der Frage der bedingten Entlassung etwas hergibt oder nicht (vgl. GÜNTER GRIBBOHM, StGB, Leipziger Kommentar, 11. Auflage, § 57 N. 19). Prognostisch wichtige Erkenntnisse lassen sich aus dem Verhalten des Verurteilten in Situationen entnehmen, die dem normalen Leben ähnlich sind; dazu gehört häufig das Verhalten bei der Arbeit. Indessen gilt auch im Zusammenhang mit Vollzugslockerungen und mit Fluchtversuchen, dass die atypische Situation, in der sich der «Untergebrachte» hier befindet, selbst erhebliche rechtswidrige Taten nicht notwendig als Anhaltspunkte für eine schlechte Prognose BGE 124 IV 193 S. 204 im Falle einer geordneten Entlassung erscheinen lässt (ders., a.a.O., 10. Auflage, § 67d N. 37). Diese Überlegung wird die Vorinstanz bei der Einschätzung der Nichtrückkehr des Beschwerdeführers vom 27. Februar 1995 in die Anstalt Bochuz zu bedenken haben. Ebenfalls von Bedeutung ist, dass es auf jener Flucht «nur» zu Taten wie Gebrauch und Hehlerei von falschen Ausweispapieren sowie Hehlerei von gestohlenen Autoschildern kam, nicht aber zu Raub und Diebstahl wie früher. ee) In der Literatur wird die Ansicht vertreten, eine innere Wandlung könne nur aus Erfahrungssätzen hergeleitet werden; von besonderer Bedeutung sei dabei die Erfahrung, dass die Neigung zu Gewalttaten mit fortschreitendem Alter zurückgehe. Weiter wird es als fehlerhaft bezeichnet, aus fortdauerndem Leugnen der früheren Tat auf eine schlechte Prognose zu schliessen; eine Pflicht, sich zur begangenen Tat zu bekennen, bestehe auch nach der Verurteilung nicht, und das Bestreiten der Tat könne vielerlei, auch prognostisch indifferente Gründe haben. Schuldeinsicht sei nicht notwendige Voraussetzung für ein künftiges Leben ohne Straftaten (GRIBBOHM, a.a.O., 10. Auflage, § 67c N. 70 mit Hinweisen; ders. 11. Auflage, § 57 N. 21). Deshalb ist insoweit ein Fragezeichen gerechtfertigt, wenn die Vorinstanz von der Uneinsichtigkeit des Beschwerdeführers auf eine ungünstige Prognose schliessen sollte und auch dem Alter des Beschwerdeführers nichts Positives abzugewinnen vermag. Dasselbe gilt, soweit die Vorinstanz aus der Eingabe vom 16. März 1998 dem Beschwerdeführer vorhält, dieses Schreiben stelle eine einzige Anklage dar. Abgesehen von den kurzen Ausführungen über sein Rückenleiden sowie die ins Auge gefasste Arbeits- und Wohnsituation bei einer bedingten Entlassung trifft dies zwar zu; doch gilt es zu bedenken, dass es sich dabei um eine Parteischrift handelt, die Europäische Kommission für Menschenrechte am 16. Januar 1996 das Untersuchungsverfahren sowie dasjenige bis zur Aburteilung des Beschwerdeführers als ungebührlich lang beurteilt hat und der Beschwerdeführer angesichts der noch hängigen Beschwerden in Strassburg an eine Revision des Walliser Urteils glaubt. Damit erscheint die Eingabe des Beschwerdeführers und mithin dessen Uneinsichtigkeit in einem anderen Licht. Da bei langdauernder Haft und Untersuchungshaft aus medizinischer Sicht mit Schädigungen des Betroffenen zu rechnen ist (RALF BINSWANGER, Zum Problem langdauernder Untersuchungshaft, ZStrR 91/1975, S. 406 ff., insbesondere S. 409 ff.) und der Beschwerdeführer nach eigenen Angaben während mehr als sechs Jahren in Einzelhaft gehalten BGE 124 IV 193 S. 205 worden war, sollte auch von daher die Strafverbüssung nicht unnötig verlängert werden. ff) Schliesslich stellt sich im Nachgang zu den konsiliar-psychiatrischen Berichten vom 10. Juni und 2./4. Dezember 1992 die Frage, ob die Vorinstanz nicht allenfalls die Persönlichkeit des Beschwerdeführers näher abklären sollte (Hans Wiprächtiger, Die Abklärung der Persönlichkeit des Beschuldigten - Die Sicht des Richters, ZStrR 111/1993, S. 175 ff., insbesondere S. 192 Ziff. 7). Dies nicht zuletzt auch im Hinblick auf ihre Einschätzung der Persönlichkeit des Beschwerdeführers, wonach er sich in der Anwaltskanzlei wohl eher als ein von seiner Rechtsvertreterin Unterstützter denn als vollwertiger Mitarbeiter fühlen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