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475</w:t>
      </w:r>
    </w:p>
    <w:p>
      <w:r>
        <w:t>Bundesgericht (BGE), 1998-01-01, FR</w:t>
      </w:r>
    </w:p>
    <w:p>
      <w:r>
        <w:rPr>
          <w:b/>
        </w:rPr>
        <w:t xml:space="preserve">Quelle: </w:t>
      </w:r>
      <w:r>
        <w:t>https://mcp.opencaselaw.ch/entscheid/bge_BGE_124_II_475</w:t>
      </w:r>
    </w:p>
    <w:p>
      <w:r>
        <w:t>FR: ATF 124 II 475</w:t>
      </w:r>
    </w:p>
    <w:p>
      <w:r>
        <w:t>IT: DTF 124 II 475</w:t>
      </w:r>
    </w:p>
    <w:p>
      <w:pPr>
        <w:pStyle w:val="Heading2"/>
      </w:pPr>
      <w:r>
        <w:t>Regeste</w:t>
      </w:r>
    </w:p>
    <w:p>
      <w:r>
        <w:t>Regeste Art. 16 Abs. 2 und 3 lit. a SVG; Art. 4a Abs. 1 VRV. Überschreitung der Höchstgeschwindigkeit. Grenzwerte für den Entzug des Führerausweises (E. 2; Zusammenfassung der Rechtsprechung).</w:t>
      </w:r>
    </w:p>
    <w:p>
      <w:r>
        <w:t>Regeste Art. 16 al. 2 et al. 3 let. a LCR; art. 4a al. 1 OCR. Dépassement de la vitesse maximale autorisée. Valeurs limites pour le retrait du permis de conduire (consid. 2; récapitulation de la jurisprudence).</w:t>
      </w:r>
    </w:p>
    <w:p>
      <w:r>
        <w:t>Regesto Art. 16 cpv. 2 e cpv. 3 lett. a LCStr.; art. 4a cpv. 1 ONC. Superamento della velocità massima consentita. Valori limite per la revoca della licenza di condurre (consid. 2; ricapitolazione della giurisprudenza).</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et 34 al. 1 let. a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comme c'est le cas en l'espèce,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a) Les conditions d'un retrait du permis de conduire en cas d'excès de vitesse ont été examinées dans les ATF 124 II 97 et ATF 123 II 106 , auxquels il convient de se référer. 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fait la distinction BGE 124 II 475 S. 477 entre le cas de peu de gravité ( art. 16 al. 2 2 ème phrase LCR), le cas de gravité moyenne ( art. 16 al. 2 1 ère phrase LCR) et le cas grave ( art. 16 al. 3 let. a LCR ; cf. ATF 123 II 106 consid. 2a p. 109). Si la violation des règles de la circulation n'a pas "compromis la sécurité de la route ou incommodé le public", l'autorité n'ordonnera aucune mesure. S'il s'agit seulement d'un cas de peu de gravité, elle donnera un avertissement. Pour dire si le cas peut être considéré comme de peu de gravité, il faut prendre en considération la gravité de la faute, le danger créé et la réputation du conducteur en tant qu'automobiliste ( ATF 124 II 97 consid. 1 p. 98; ATF 123 II 106 consid. 2b p. 111). Si le cas est de gravité moyenne, l'autorité doit faire usage de la faculté (ouverte par l' art. 16 al. 2 LCR ) de retirer le permis de conduire. Dans les cas graves, qui supposent une violation grossière d'une règle essentielle de la circulation entraînant un danger concret ou un danger abstrait accru, le retrait du permis de conduire est obligatoire en application de l' art. 16 al. 3 let. a LCR ( ATF 123 II 106 consid. 2a p. 109). Pour assurer l'égalité de traitement, la jurisprudence a été amenée à fixer des règles précises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 ATF 123 II 106 consid. 2c p. 111). Le retrait facultatif doit être ordonné si le dépassement de vitesse est compris entre 30 et 35 km/h ( ATF 124 II 97 consid. 2b p. 99; ATF 123 II 106 consid. 2c p. 113). Le retrait est obligatoire ( art. 16 al. 3 let. a LCR ) lorsque le dépassement de vitesse atteint 35 km/h ( ATF 124 II 97 consid. 2b p. 99;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 ATF 124 II 97 consid. 2b p. 99; ATF 123 II 37 consid. 1e p. 41). Une moindre sévérité peut être justifiée par des circonstances exceptionnelles, telles que celles susceptibles d'entraîner une application analogique de l' art. 66bis CP ( ATF 118 Ib 229 consid. 3 p. 233) ou une erreur compréhensible sur la vitesse autorisée ( ATF 124 II 98 consid. 2b p. 100). Sur les autres routes, le retrait facultatif sera prononcé si le dépassement de vitesse est compris entre 25 et 30 km/h ( ATF 124 II 259 consid. 2c); le retrait est obligatoire en application de l' art. 16 al. 3 let. a LCR dès que le BGE 124 II 475 S. 478 dépassement atteint 30 km/h ( ATF 124 II 97 consid. 2b p. 99, 259; ATF 123 II 106 consid. 2c p. 112 s.). A l'intérieur des localités, le retrait facultatif doit en principe être prononcé si le dépassement de vitesse est compris entre 20 et 25 km/h ( ATF 124 II 97 consid. 2b p. 100 s.), tandis que le retrait est obligatoire dès que le dépassement atteint 25 km/h ( ATF 124 II 97 consid. 2b p. 99 s.; ATF 123 II 106 consid. 2c p. 112 s.). La durée du retrait de permis est fixée conformément à l' art. 33 al. 2 OAC , mais elle est d'un mois au minimum ( art. 17 al. 1 let. a LCR ). b) En l'espèce, le Tribunal administratif cantonal a constaté que l'intimé avait dépassé de 36 km/h la vitesse maximale de 120 km/h autorisée sur les autoroutes ( art. 4a al. 1 let . d OCR [RS 741.11]). En application des principes qui viennent d'être rappelés, on se trouve en présence d'un cas de retrait obligatoire au sens de l' art. 16 al. 3 let. a LCR (cf. ATF 124 II 97 consid. 2b p. 99; ATF 123 II 106 consid. 2c p. 112 s.). En prononçant un simple avertissement, l'autorité cantonale a violé le droit fédéral et le recours doit être admis. Dans la mesure où l'intimé conteste l'importance du dépassement de vitesse, il ne peut pas être suivi. En effet, la détermination de sa vitesse relève de l'établissement des faits et on ne voit pas que la constatation de l'autorité judiciaire cantonale soit manifestement inexacte, incomplète ou résulte d'un mépris des règles essentielles de la procédure ( art. 105 al. 2 OJ ). Il est également sans pertinence que les conditions de la circulation aient été favorables et que la réputation de l'intimé en tant qu'automobiliste ait été excellente, puisque les limites fixées par la jurisprudence ont précisément été déterminées en partant de cette hypothèse. Il est tout autant sans importance que l'intimé n'ait dépassé que de peu le seuil des 35 km/h fixé pour le cas grave sur les autoroutes. Si l'on devait instaurer une marge de tolérance, cela reviendrait en réalité à repousser la limite et à poser à nouveau la question d'une marge de tolérance pour la nouvelle limite ainsi fixée. Au demeurant, il résulte de la jurisprudence citée que le permis de conduire de l'intimé aurait dû de toute manière être retiré, mais sur la base de l' art. 16 al. 2 LCR , si le dépassement de vitesse avait été un peu inférieur à 35 km/h. L'opinion divergente du juge pénal - qui a appliqué l' art. 90 ch. 1 LCR plutôt que l' art. 90 ch. 2 LCR - ne peut obliger l'autorité administrative, en présence, comme en l'espèce, d'une situation claire, à violer les dispositions relevant de sa compétence. Quant aux circonstances personnelles invoquées par l'intimé, elles ne pourraient influencer que la durée du retrait de permis, mais elles BGE 124 II 475 S. 479 perdent toute pertinence, dès lors que la durée requise par l'office recourant correspond au minimum légal (cf. art. 17 al. 1 let. a LCR ). L'intimé fait en particulier valoir que son fils est handicapé; il ne prétend cependant pas qu'il ne disposerait d'aucune solution de rechange et, en particulier, qu'il ne pourrait assumer la charge financière de déplacements en taxi pendant un mois; les renseignements qu'il fournit sur son activité professionnelle donnent au contraire à penser qu'il vit de manière aisée. On ne peut donc pas conclure que l'application de la loi serait d'une dureté inhumaine. Comme l'intimé a dépassé la vitesse maximum autorisée sur l'autoroute de 36 km/h, le permis de conduire doit lui être retiré en application de l' art. 16 al. 3 let. a LCR . c) Lorsque le Tribunal fédéral, saisi d'un recours de droit administratif, annule la décision attaquée, il peut soit statuer lui-même sur le fond, soit renvoyer l'affaire pour nouvelle décision à l'autorité inférieure, voire à l'autorité qui a statué en première instance ( art. 114 al. 2 OJ ). La détermination de la durée d'un retrait d'admonestation étant une question d'appréciation, le Tribunal fédéral a pour habitude, en cas d'admission du recours, de renvoyer la cause à l'autorité cantonale pour qu'elle fixe la durée du retrait du permis en exerçant le pouvoir d'appréciation qui lui appartient. A teneur de l' art. 17 al. 1 let. a LCR , la durée du retrait est au minimum d'un mois. En l'espèce, l'office recourant a conclu à ce que le retrait soit ordonné pour une durée d'un mois. Or, le Tribunal fédéral ne saurait aller au-delà des conclusions des parties ( art. 114 al. 1 OJ ). Dès lors que la durée maximale qui peut être prononcée en application de l' art. 114 al. 1 OJ correspond à la durée minimale qui doit être infligée d'après l' art. 17 al. 1 let. a LCR , il ne reste plus à l'autorité aucune marge d'appréciation. Il se justifie donc de renoncer à un renvoi, qui constituerait un inutile détour procédural, et de prononcer immédiatement le retrait du permis de conduire de l'intimé pour une durée d'un mois.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