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361</w:t>
      </w:r>
    </w:p>
    <w:p>
      <w:r>
        <w:t>Bundesgericht (BGE), 1998-01-01, DE</w:t>
      </w:r>
    </w:p>
    <w:p>
      <w:r>
        <w:rPr>
          <w:b/>
        </w:rPr>
        <w:t xml:space="preserve">Quelle: </w:t>
      </w:r>
      <w:r>
        <w:t>https://mcp.opencaselaw.ch/entscheid/bge_BGE_124_II_361</w:t>
      </w:r>
    </w:p>
    <w:p>
      <w:r>
        <w:t>FR: ATF 124 II 361</w:t>
      </w:r>
    </w:p>
    <w:p>
      <w:r>
        <w:t>IT: DTF 124 II 361</w:t>
      </w:r>
    </w:p>
    <w:p>
      <w:pPr>
        <w:pStyle w:val="Heading2"/>
      </w:pPr>
      <w:r>
        <w:t>Regeste</w:t>
      </w:r>
    </w:p>
    <w:p>
      <w:r>
        <w:t>Regeste Art. 100 Abs. 1 lit. b Ziff. 3 OG und Art. 105 Abs. 2 OG, Art. 4 ANAG und Art. 17 Abs. 2 ANAG, Art. 8 EMRK sowie Art. 9, 10 und 12 der UNO-Kinderrechtekonvention; Verweigerung des Nachzugs der Kinder eines Ausländers aus einer früheren Beziehung. Bestätigung der Rechtsprechung zur Zulässigkeit der Verwaltungsgerichtsbeschwerde sowie zur Bindung des Bundesgerichts an die Sachverhaltsfeststellung der Vorinstanz als richterlichen Behörde (E. 1 und 2). Bestätigung der Rechtsprechung, wonach ein Nachzugsrecht bei Kindern getrennt lebender ausländischer Eltern voraussetzt, dass zum in der Schweiz lebenden Elternteil die vorrangige familiäre Beziehung besteht. Vereinbarkeit dieser Rechtsprechung mit der UNO-Kinderrechtekonvention. Bedeutung des Anspruches der Kinder gemäss diesem Übereinkommen, sich in allen sie berührenden Angelegenheiten frei zu äussern bzw. angehört zu werden (E. 3 und 4).</w:t>
      </w:r>
    </w:p>
    <w:p>
      <w:r>
        <w:t>Regeste Art. 100 al. 1 let. b ch. 3 OJ et art. 105 al. 2 OJ, art. 4 LSEE et art. 17 al. 2 LSEE, art. 8 CEDH et art. 9, 10 et 12 de la Convention des Nations Unies relative aux droits de l'enfant; refus du regroupement familial aux enfants d'un étranger issus d'une union antérieure. Confirmation de la jurisprudence relative à la recevabilité du recours de droit administratif ainsi qu'à la restriction du pouvoir d'examen du Tribunal fédéral quant aux faits constatés par l'instance inférieure lorsque celle-ci est une autorité judiciaire (consid. 1 et 2). Confirmation de la jurisprudence selon laquelle les enfants de parents étrangers vivant séparés n'ont un droit au regroupement que s'ils entretiennent la relation familiale la plus étroite avec le parent résidant en Suisse. Compatibilité de cette jurisprudence avec la Convention des Nations Unies relative aux droits de l'enfant. Portée du droit des enfants, garanti par cette Convention, de s'exprimer librement sur toute question les intéressant, ainsi qu'à être entendus (consid. 3 et 4).</w:t>
      </w:r>
    </w:p>
    <w:p>
      <w:r>
        <w:t>Regesto Art. 100 cpv. 1 lett. b n. 3 OG e art. 105 cpv. 2 OG, art. 4 LDDS e art. 17 cpv. 2 LDDS, art. 8 CEDU nonché art. 9, 10 e 12 della Convenzione dell'ONU sui diritti del fanciullo; rifiuto opposto a uno straniero di farsi raggiungere dai figli nati da una precedente unione. Conferma della giurisprudenza concernente l'ammissibilità del ricorso di diritto amministrativo nonché relativa alla regola secondo cui il Tribunale federale è vincolato dai fatti constatati dall'autorità giudiziaria (consid. 1 e 2). Conferma della giurisprudenza secondo cui il diritto al ricongiungimento familiare per i figli di genitori stranieri che vivono separati presuppone che essi intrattengono la relazione familiare più stretta con il genitore che risiede in Svizzera. Compatibilità di tale prassi con la Convenzione dell'ONU sui diritti del fanciullo. Portata del diritto dei figli, garantito da questa Convenzione, di esprimersi liberamente su ogni questione che li riguarda nonché di essere sentiti (consid. 3 e 4).</w:t>
      </w:r>
    </w:p>
    <w:p>
      <w:pPr>
        <w:pStyle w:val="Heading2"/>
      </w:pPr>
      <w:r>
        <w:t>Erwägungen</w:t>
      </w:r>
    </w:p>
    <w:p>
      <w:r>
        <w:rPr>
          <w:b/>
        </w:rPr>
        <w:t>E. 1</w:t>
      </w:r>
    </w:p>
    <w:p>
      <w:r>
        <w:t>a) Art. 100 Abs. 1 lit. b Ziff. 3 OG schliesst die Verwaltungsgerichtsbeschwerde aus gegen die Erteilung oder Verweigerung von fremdenpolizeilichen Bewilligungen, auf die das Bundesrecht keinen Anspruch einräumt. BGE 124 II 361 S. 364 Gemäss Art. 4 ANAG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122 II 1 E. 1a, 289 E. 1a, 385 E. 1a; BGE 120 Ib 257 E. 1a; je mit Hinweisen). b) Gemäss Art. 17 Abs. 2 dritter Satz ANAG haben ledige Kinder unter 18 Jahren Anspruch auf Einbezug in die Niederlassungsbewilligung ihrer Eltern, wenn sie mit diesen zusammen wohnen. Ferner garantiert Art. 8 EMRK den Schutz des Familienlebens. Gestützt darauf ist die Verwaltungsgerichtsbeschwerde des um die fremdenpolizeiliche Bewilligung ersuchenden Ausländers oder seiner hier anwesenden nahen Verwandten zulässig, wenn diese über ein gefestigtes Anwesenheitsrecht (insbesondere Niederlassungsbewilligung) in der Schweiz verfügen und die familiäre Beziehung tatsächlich gelebt wird und intakt ist ( BGE 109 Ib 183 ; BGE 122 II 1 E. 1e, 289 E. 1c, 385 E. 1c; BGE 120 Ib 1 E. 1d, 6 E. 1, 16 E. 3a und 257 E. 1c, mit Hinweisen). Der Beschwerdeführer hat die Niederlassungsbewilligung. Seine Beziehung zu seinen Kindern ist intakt und wird im Rahmen des Möglichen, und soweit dies vernünftigerweise verlangt werden kann, gelebt. Auf die Verwaltungsgerichtsbeschwerde wird daher eingetreten, soweit es um die Erteilung der Einreisebewilligung an die beiden älteren Kinder geht. c) Nicht eingetreten werden kann indessen, soweit der Beschwerdeführer auch eine Einreisebewilligung für seinen jüngsten Sohn beantragt. Im Verfahren der Verwaltungsgerichtsbeschwerde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soweit keine Verfügung ergangen ist ( BGE 122 V 34 E. 2a; BGE 119 Ib 33 E. 1b; BGE 110 V 48 E. 3b mit Hinweisen). Die Vorinstanz ist auf die Frage des Nachzuges des jüngsten Sohnes ausdrücklich nicht eingetreten. Da sie somit nicht Gegenstand des angefochtenen BGE 124 II 361 S. 365 Entscheides bildet, kann sie auch nicht vor Bundesgericht zum Streitgegenstand erhoben werden. Ein Ausnahmefall (vgl. dazu BGE 122 V 34 E. 2a) liegt nicht vor. Der Beschwerdeführer macht im übrigen nicht geltend, und es ist auch nicht ersichtlich, dass das Verwaltungsgericht gegen Bundesrecht verstossen hat, indem es insoweit auf die bei ihm erhobene Beschwerde nicht eintrat. Der Beschwerdeführer hat seinerzeit am 20. April 1996 selber über seinen damaligen Rechtsvertreter um Beschränkung des Verfahrens auf die beiden älteren Kinder ersucht. In der Verwaltungsgerichtsbeschwerde an das Bundesgericht erläutert er dazu, diese Beschränkung hänge mit den (jedenfalls im damaligen Zeitpunkt) engen Wohnraumverhältnissen zusammen, wie schon damals ausgeführt worden sei. Nachdem das Verfahren damit im Einverständnis mit dem Beschwerdeführer bis vor dem Regierungsrat auf den Nachzug der beiden älteren Kinder beschränkt war, durfte die Vorinstanz, ohne Bundesrecht zu verletzen, entscheiden, der Streitgegenstand gehe nicht über diese Frage hinaus.</w:t>
      </w:r>
    </w:p>
    <w:p>
      <w:r>
        <w:rPr>
          <w:b/>
        </w:rPr>
        <w:t>E. 2</w:t>
      </w:r>
    </w:p>
    <w:p>
      <w:r>
        <w:t>a) Im Fremdenpolizeirecht stellt das Bundesgericht nur dann auf die aktuellen tatsächlichen und rechtlichen Umstände ab, wenn nicht eine richterliche Behörde als Vorinstanz entschieden hat. Diesfalls gilt die Regelung von Art. 105 Abs. 2 OG ( BGE 122 II 1 E. 1b mit Hinweisen, 385 E. 2), wonach das Bundesgericht an die Feststellung des Sachverhalts gebunden ist, wenn die richterliche Vorinstanz diesen nicht offensichtlich unrichtig, unvollständig oder unter Verletzung wesentlicher Verfahrensbestimmungen erhoben hat. Da im vorliegenden Fall der angefochtene Entscheid durch ein Gericht erging, gelangt Art. 105 Abs. 2 OG zur Anwendung. b) Für die Feststellung des Sachverhalts gilt im Verwaltungsverfahren grundsätzlich die Untersuchungsmaxime. Diese wird jedoch relativiert durch die Mitwirkungspflicht der Parteien (vgl. Art. 13 VwVG ),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mit vernünftigem Aufwand erheben können. Im vorliegenden Zusammenhang trifft das insbesondere auf die vom Beschwerdeführer angerufenen Umstände - namentlich persönlicher Art - in seiner Heimat zu; solche Tatsachen lassen sich erfahrungsgemäss von den schweizerischen Behörden, wenn überhaupt, nur mit erhöhtem Aufwand abklären ( BGE 122 II 385 E. 4c/cc). BGE 124 II 361 S. 366</w:t>
      </w:r>
    </w:p>
    <w:p>
      <w:r>
        <w:rPr>
          <w:b/>
        </w:rPr>
        <w:t>E. 3</w:t>
      </w:r>
    </w:p>
    <w:p>
      <w:r>
        <w:t>a) Art. 17 Abs. 2 dritter Satz ANAG verschafft nicht ein vorbehaltloses Recht auf Nachzug der Kinder. Zusätzliche Anforderungen müssen sich freilich aus dem Gesetz ergeben (vgl. BGE 119 Ib 81 E. 2). Ähnliches gilt für Art. 8 EMRK . Der Familienschutz, wie er in dieser Bestimmung gewährleistet wird, kann zwar unter Umständen einer Entfernungsmassnahme wie einer Ausweisung - und damit einer zwangsweisen Trennung von Angehörigen - entgegenstehen, wenn dadurch die Fortführung des Familienlebens verunmöglicht oder stark beeinträchtigt wird. Art. 8 EMRK vermittelt jedoch nicht ein absolutes Recht auf Einreise und Aufenthaltsbewilligung von Familienmitgliedern ( BGE 122 II 289 E. 3b), namentlich wenn ein Ausländer selbst die Entscheidung getroffen hat, von seiner Familie getrennt in einem anderen Land zu leben ( BGE 122 II 385 E. 4b; BGE 119 Ib 81 E. 4a; BGE 118 Ib 153 E. 2b). Auch wenn Art. 17 Abs. 2 dritter Satz ANAG sowie 8 EMRK unter anderem die familiäre Beziehung getrennt lebender Eltern zu ihren Kindern schützen, räumen die Bestimmungen grundsätzlich nicht demjenigen Elternteil ein Recht auf Nachzug eines Kindes ein, der freiwillig ins Ausland verreist ist, der ein weniger enges Verhältnis zum Kind hat als der andere Elternteil oder sonstige Verwandte, die für das Kind sorgen, und der seine bisherigen Beziehungen zum Kinde weiterhin pflegen kann. In solchen Fällen gibt es keinen bedingungslosen Anspruch auf Nachzug des Kindes durch den in der Schweiz lebenden Elternteil. Ein entsprechendes Recht setzt vielmehr voraus, dass das Kind zum hier ansässigen Elternteil die vorrangige familiäre Beziehung unterhält und sich der Nachzug als notwendig erweist. Dabei kommt es zwar nicht nur auf die bisherigen Verhältnisse an, sondern es können auch nachträglich eingetretene oder künftige Umstände wesentlich werden. In der Regel ist dafür aber zunächst der privatrechtliche Weg zu beschreiten, d.h. es ist die rechtlich verbindliche Zuteilung des Sorgerechts anzustreben. Vorbehalten bleiben Fälle, in denen klare Anhaltspunkte für neue familiäre Abhängigkeiten oder für eine wesentliche Verlagerung der Beziehungsintensitäten bestehen, wie etwa beim Hinschied desjenigen Elternteils, der das Kind bisher betreut hat ( BGE 122 II 385 E. 4b; BGE 118 Ib 153 E. 2b). Die Verweigerung einer Bewilligung lässt sich somit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BGE 124 II 361 S. 367 und Pflege der bisherigen familiären Beziehungen nicht behördlich verhindert wird ( BGE 122 II 385 E. 4b; BGE 119 Ib 81 E. 4a und b; BGE 118 Ib 153 E. 2c und d; ALAIN WURZBURGER, La jurisprudence récente du Tribunal fédéral en matière de police des étrangers, in RDAF 53/1997, S. 280 ff.; kritisch: MARC SPESCHA, Abwehrmentalität und Defizite in der ausländerrechtlichen Bewilligungspraxis, in AJP 1997, S. 481 f.). b) An dieser Rechtslage ändert auch die UNO-Kinderrechtekonvention nichts. Trotz grundsätzlichem Inkrafttreten am 26. März 1997 wurde dieses Übereinkommen bisher noch nicht formell in der Amtlichen Sammlung der Eidgenössischen Gesetze publiziert. Das allein schliesst zwar nicht aus, dass sich der Beschwerdeführer darauf berufen kann (vgl. BGE 124 III 90 E. 3a). Aus Art. 9 und 10 des Abkommens vermögen aber weder ein Kind noch dessen Eltern einen gerichtlich durchsetzbaren Anspruch auf Familienzusammenführung abzuleiten. Das Recht der Staaten, ihre Einwanderungsgesetze selbst auszugestalten, wird durch diese Bestimmungen nicht beeinträchtigt (BBl 1994 V 33f.). Im übrigen hat die Schweiz gerade im Hinblick auf die Gesetzgebung über die Familienzusammenführung einen Vorbehalt zu Art. 10 Abs. 1 der UNO-Kinderrechtekonvention angebracht (BBl 1994 V 36 und 77; unveröffentlichtes Urteil des Bundesgerichts vom 6. März 1998 i.S. Herrera, E. 1b/bb; PETER HÄNNI/EVA MARIA BELSER, Die Rechte der Kinder, in AJP 1998, S. 150). Der Beschwerdeführer trägt vor, die nationale Gesetzgebung sei wenigstens in dem Sinne im Lichte der UNO-Kinderrechtekonvention auszulegen und anzuwenden, dass Anträge auf Familienzusammenführung im Rahmen der Gesetzgebung wohlwollend, human und beschleunigt zu bearbeiten seien. Wieweit der Auffassung des Beschwerdeführers zu folgen ist, kann indessen offenbleiben. Zwar lässt sich entgegen der Ansicht des Bundesamts für Ausländerfragen nicht mit dem allgemeinen Verweis darauf, im Jahr 1997 seien 46% der neu eingereisten Ausländer im Rahmen der Bestimmungen über den Familiennachzug zugelassen worden, nachweisen, dass das fragliche Gesuch auch im vorliegenden Fall wohlwollend, human und beschleunigt behandelt worden ist. Der Beschwerdeführer vermag aber nicht zu belegen, und es ist auch nicht ersichtlich, weshalb in seinem Fall gegen ein entsprechendes Prinzip verstossen worden sein soll, denn auch ein solcher Rechtsgrundsatz könnte eine Bewilligungsverweigerung nicht von vornherein ausschliessen. Entscheidend sind vielmehr die gesamten Umstände des Einzelfalles, die im Rahmen der Anwendung der einschlägigen Rechtsnormen angemessen BGE 124 II 361 S. 368 und fallbezogen abgewogen werden müssen (vgl. PHILIP GRANT, L'art. 8 CEDH, les étrangers et les voies de recours au Tribunal fédéral: entre innovation et cul-de-sac, in AJP 1998, S. 275; WURZBURGER, a.a.O., S. 280). c) Der Beschwerdeführer beruft sich weiter auf Art. 12 der UNO-Kinderrechtekonvention, wonach die Vertragsstaaten dem Kind, das fähig ist, sich eine eigene Meinung zu bilden, das Recht zusichern, diese Meinung in allen das Kind berührenden Angelegenheiten bzw. Gerichts- oder Verwaltungsverfahren unmittelbar oder durch einen Vertreter oder eine geeignete Stelle frei zu äussern und angehört zu werden. Dieses Recht gilt grundsätzlich auch in fremdenpolizeilichen Verfahren (MARIE-FRANÇOISE LÜCKER-BABEL, La garantie des droits des mineurs migrants par les conventions internationales et la législation interne suisse, in Zeitschrift für Vormundschaftswesen 53/1998, S. 61). Art. 12 der UNO-Kinderrechtekonvention ist unmittelbar anwendbar ( BGE 124 III 90 E. 3a), und der Beschwerdeführer kann sich somit darauf berufen. Grundsätzlich wären die Kinder bei der vorliegenden Ausgangslage zwar eher bereits im zivilrechtlichen Verfahren über die Zuteilung des Sorgerechts anzuhören gewesen, wobei freilich offenbleiben kann, ob dies stattgefunden hat und ob die UNO-Kinderrechtekonvention von Pakistan ratifiziert worden ist. So oder so schliesst dies die allfällige Notwendigkeit einer Anhörung im schweizerischen fremdenpolizeilichen Verfahren nicht von vornherein aus. Indessen ist das Kind auch nach der Kinderrechtekonvention nicht zwingend persönlich (mündlich), sondern lediglich in angemessener Weise anzuhören. Die Anhörung kann je nach der zu behandelnden Problematik und den Umständen des Einzelfalles auch schriftlich oder über einen Vertreter vorgenommen werden (vgl. den Wortlaut von Art. 12 der UNO-Kinderrechtekonvention; vgl. auch BGE 124 III 90 E. 3b und c; BEA VERSCHRAEGEN, Die Kinderrechtekonvention, Wien 1996, S. 84 f.). Im vorliegenden Fall hat sich die älteste Tochter in zwei Briefen, die dem Verwaltungsgericht vorlagen, geäussert. Zudem kann im Sinne des Antrags des Beschwerdeführers davon ausgegangen werden, dass er selber den Standpunkt der Kinder vertritt und diese somit einen Wechsel in die Schweiz grundsätzlich ebenfalls befürworten. Die Anforderungen von Art. 12 der UNO-Kinderrechtekonvention erweisen sich damit als erfüllt.</w:t>
      </w:r>
    </w:p>
    <w:p>
      <w:r>
        <w:rPr>
          <w:b/>
        </w:rPr>
        <w:t>E. 4</w:t>
      </w:r>
    </w:p>
    <w:p>
      <w:r>
        <w:t>a) Der Beschwerdeführer hat im Jahre 1991 seine Heimat freiwillig verlassen und dabei seine Kinder bei der Mutter in Pakistan BGE 124 II 361 S. 369 zurückgelassen. Seit dem Jahr 1992 ist er mit einer Schweizerbürgerin verheiratet. Obwohl er von diesem Zeitpunkt an den Nachzug seiner Kinder hätte beantragen können, hat er damit bis 1995 zugewartet. Er begründet dies damit, die Beziehungsverhältnisse hätten sich erst nachträglich verändert. Sinngemäss macht er geltend, die Beziehung der Kinder habe sich in jüngerer Zeit von der Mutter weg zu ihm hin entwickelt, was unter anderem aus den Briefen der ältesten Tochter hervorgehe. Weiter habe sein Übertritt zum Christentum im mehrheitlich muslimischen Umfeld der Kinder zu belastenden Diskriminierungen geführt. Die Mutter habe daher beim zuständigen örtlichen Familiengericht die Übertragung der Obhuts- und Erziehungspflichten an den Vater beantragt, was vom Gericht auch so angeordnet worden sei. Damit sei eine wesentliche Verlagerung der Beziehungsintensitäten nachgewiesen. Die Vorinstanz hat im angefochtenen Urteil festgestellt, aus dem Schreiben der ältesten Tochter ergebe sich nicht, dass die familiären Verhältnisse in der Heimat ein Herausreissen der Kinder aus ihrer gewohnten Umgebung und ein Überführen in einen völlig anderen Kulturkreis geböten. Wenn ein örtliches Familiengericht in Pakistan die Obhuts- und Erziehungspflichten der Mutter entzogen und dem Beschwerdeführer übertragen habe, sei damit die vorrangige Beziehung der Kinder zum Vater nicht erstellt. Offenbar hege die Mutter den Wunsch, sich wieder zu verheiraten, wobei der künftige Ehemann nicht bereit sei, die Kinder in die Ehe zu nehmen. Die Mutter sei aber weiterhin die wichtigste Bezugsperson für die Kinder. Die älteste Tochter besuche sodann eine Internatsschule und lebe damit nicht regelmässig im Haushalt der Mutter. Schliesslich seien den Kindern die Lebensverhältnisse in der Schweiz völlig fremd. b) Der Beschwerdeführer vermag nicht darzutun, dass diese Sachverhaltsfeststellung unvollständig, offensichtlich unrichtig oder unter Verletzung wesentlicher Verfahrensbestimmungen ergangen ist ( Art. 105 Abs. 2 OG ). Im Gegenteil geht er selber im wesentlichen von den gleichen tatsächlichen Grundlagen wie die Vorinstanz aus. Wohl trifft zu, dass die beabsichtigte Wiederverheiratung der Mutter zu einer gewissen Entfremdung von den Kindern führen kann, vor allem weil der künftige Stiefvater diese abzulehnen scheint. Damit ist aber genausowenig wie durch die briefliche Darstellung der familiären Schwierigkeiten bzw. durch den schriftlichen Hilfeappell der ältesten Tochter widerlegt, dass die Mutter weiterhin die wichtigste Bezugsperson der Kinder bleibt. Sodann ist BGE 124 II 361 S. 370 nicht zu beanstanden, dass die Vorinstanz auch dem Urteil des Familiengerichts, mit dem die Obhuts- und Erziehungsregelung geändert wurde, keine entscheidende Bedeutung zumisst. Die vom Verwaltungsgericht angeführten Zweifel, ob das Urteil im wohlverstandenen Kindesinteresse ergangen ist, sind nachvollziehbar. Der Beschwerdeführer trägt zwar vor, die familiären Verhältnisse seien auf privatrechtlichem Weg rechtsverbindlich angepasst worden. Weder widerlegt er aber die Zweifel der Vorinstanz, noch weist er nach, das Nötige dafür unternommen zu haben, dass das Urteil in der Schweiz anzuerkennen wäre. Namentlich legt er keine Beglaubigung der schweizerischen Vertretung in Pakistan vor (vgl. Art. 29 Abs. 1 lit. a des Bundesgesetzes vom 18. Dezember 1987 über das Internationale Privatrecht, IPRG; SR 291). Für die Frage des Eintretens auf ein Gesuch um Familiennachzug gemäss Art. 17 Abs. 2 dritter Satz ANAG bzw. auf ein Rechtsmittel gegen einen entsprechenden ablehnenden Entscheid ist grundsätzlich - im Unterschied zu dem auf Art. 8 EMRK gestützten Nachzugsfall - auf das Alter der Kinder im Zeitpunkt der Gesuchseinreichung abzustellen (BGE 120 1b 257 E. 1f S. 262 f.; 118 Ib 153 E. 1b). Bei der Prüfung der materiellen Rechtslage durfte das Verwaltungsgericht indessen ohne Verletzung von Bundesrecht berücksichtigen, dass die beiden Kinder, welche der Beschwerdeführer nachziehen will, inzwischen ein Alter erreicht haben, in dem sie nicht mehr ständig einer persönlichen Betreuung bedürfen. Dabei ist nicht ersichtlich, dass die notwendige altersgerechte Betreuung durch die Eltern in der Heimat ausgeschlossen wäre. Schliesslich macht der Beschwerdeführer nicht geltend, seine persönlichen Beziehungen zu den Kindern, wie sie bisher bestanden haben, würden behördlich verhindert. c) Der Beschwerdeführer ist der Ansicht, der von der Vorinstanz geforderte Beweisgrad führe zu einer gesetzwidrigen Überdehnung der Beweisanforderungen, da faktisch der aus Art. 17 Abs. 2 ANAG folgende Rechtsanspruch bei Kindern von Scheidungsfamilien vereitelt werde. Wohl trifft zu, dass die Rechtsprechung in solchen Fällen hohe Anforderungen an die Beweislage stellt. Das hängt indessen damit zusammen, dass Art. 17 Abs. 2 dritter Satz ANAG an sich auf intakte Familienverhältnisse zugeschnitten ist, d.h. das Zusammenleben der Gesamtfamilie ermöglichen soll ( BGE 118 Ib 153 E. 2b; vgl. auch WURZBURGER, a.a.O. S. 281). Bei Scheidungskindern ist das Erreichen dieses Gesetzeszwecks von vornherein unmöglich, und es rechtfertigt sich daher, grundsätzlich auf die BGE 124 II 361 S. 371 Familienverhältnisse abzustellen, wie sie sich unmittelbar nach der Scheidung ergeben. Als Ausnahme lässt die Rechtsprechung die nachträgliche Änderung der Beziehungsintensitäten als Grund für einen fremdenpolizeilich abgesicherten Nachzug von Scheidungskindern zwar zu, dass dafür aber hohe Beweisanforderungen verlangt werden, erscheint durchaus als folgerichtig. Dies gilt um so mehr, als regelmässig solche Tatsachen abzuklären und wesentlich sind, die von den Behörden nicht ohne weiteres nachgeprüft werden können (vgl. dazu E. 2b). Wenn jedoch nachvollziehbare Anhaltspunkte für die Änderung der Familienverhältnisse bestehen und sich diese auch belegen lassen, wird der nachträgliche Nachzug von Scheidungs- oder Trennungskindern nicht vereitelt (so etwa ein unveröffentlichtes Urteil des Bundesgerichts vom 12. September 1997 i.S. Sadiku). d) Zusammenfassend lässt sich festhalten, dass im vorliegenden Fall die Familientrennung von den Betroffenen selbst freiwillig herbeigeführt worden ist. Weder erscheint sodann der nachträgliche Wechsel der Betreuungspflicht von der Mutter zum Beschwerdeführer als zwingend, noch kann als nachgewiesen gelten, dass die privatrechtlichen Betreuungsverhältnisse in auch für die Schweiz rechtsgültiger Weise geändert haben. Schliesslich wird die Fortführung und Pflege der bisherigen familiären Beziehungen nicht behördlich verhindert. Damit hält die Verweigerung der Einreisebewilligung für die beiden älteren Kinder des Beschwerdeführers vor Art. 17 Abs. 2 dritter Satz ANAG, vor Art. 8 EMRK sowie der UNO-Kinderrechtekonvention stand. Unter diesen Umständen kann offenbleiben, welche rechtliche Bedeutung der Tatsache zukommt, dass sich das im vorliegenden Verfahren zu beurteilende Nachzugsgesuch lediglich auf zwei von drei Kindern bezieht (vgl. dazu die kritischen Bemerkungen zur Praxis bei SPESCHA, a.a.O., S. 482).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