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259</w:t>
      </w:r>
    </w:p>
    <w:p>
      <w:r>
        <w:t>Bundesgericht (BGE), 1998-01-01, FR</w:t>
      </w:r>
    </w:p>
    <w:p>
      <w:r>
        <w:rPr>
          <w:b/>
        </w:rPr>
        <w:t xml:space="preserve">Quelle: </w:t>
      </w:r>
      <w:r>
        <w:t>https://mcp.opencaselaw.ch/entscheid/bge_BGE_124_II_259</w:t>
      </w:r>
    </w:p>
    <w:p>
      <w:r>
        <w:t>FR: ATF 124 II 259</w:t>
      </w:r>
    </w:p>
    <w:p>
      <w:r>
        <w:t>IT: DTF 124 II 259</w:t>
      </w:r>
    </w:p>
    <w:p>
      <w:pPr>
        <w:pStyle w:val="Heading2"/>
      </w:pPr>
      <w:r>
        <w:t>Regeste</w:t>
      </w:r>
    </w:p>
    <w:p>
      <w:r>
        <w:t>Regeste Art. 16 Abs. 2 und Abs. 3 lit. a SVG, Art. 4a Abs. 1 lit. b VRV; Überschreiten der zulässigen Höchstgeschwindigkeit ausserorts, Führerausweisentzug. Wer die zulässige Höchstgeschwindigkeit ausserorts von 80 km/h um 30 km/h oder mehr überschreitet, begeht ungeachtet der konkreten Umstände objektiv eine schwere Verkehrsregelverletzung. Wird dieselbe Höchstgeschwindigkeit um 26 bis 29 km/h überschritten, liegt ungeachtet der konkreten Umstände objektiv ein mittelschwerer Fall vor (E. 2c).</w:t>
      </w:r>
    </w:p>
    <w:p>
      <w:r>
        <w:t>Regeste Art. 16 al. 2 et al. 3 let. a LCR, art. 4a al. 1 let. b OCR; dépassement de la vitesse autorisée hors des localités; retrait de permis. Celui qui dépasse de 30 km/h ou plus la vitesse maximale générale de 80 km/h autorisée hors des localités commet objectivement une infraction grave aux règles de la circulation, sans égard aux circonstances concrètes du cas. Lorsque la vitesse maximale précitée est dépassée de 26 à 29 km/h, il y a lieu d'admettre qu'il s'agit objectivement d'un cas de gravité moyenne au moins, sans égard aux circonstances concrètes (consid. 2c).</w:t>
      </w:r>
    </w:p>
    <w:p>
      <w:r>
        <w:t>Regesto Art. 16 cpv. 2 e cpv. 3 lett. a LCStr, art. 4a cpv. 1 lett. b ONC; superamento della velocità massima consentita all'esterno delle località, revoca della licenza di condurre. Chi supera di 30 km/h o più la velocità massima di 80 km/h consentita all'esterno delle località, commette oggettivamente una grave infrazione alle norme della circolazione stradale, indipendentemente dalle circostanze concrete del caso. Allorquando la citata velocità massima è superata di 26-29 km/h, sussiste oggettivamente un caso di media gravità almeno, indipendentemente dalle circostanze concrete (consid. 2c).</w:t>
      </w:r>
    </w:p>
    <w:p>
      <w:pPr>
        <w:pStyle w:val="Heading2"/>
      </w:pPr>
      <w:r>
        <w:t>Erwägungen</w:t>
      </w:r>
    </w:p>
    <w:p>
      <w:r>
        <w:rPr>
          <w:b/>
        </w:rPr>
        <w:t>E. 1</w:t>
      </w:r>
    </w:p>
    <w:p>
      <w:r>
        <w:t>("Recevabilité")</w:t>
      </w:r>
    </w:p>
    <w:p>
      <w:r>
        <w:rPr>
          <w:b/>
        </w:rPr>
        <w:t>E. 2</w:t>
      </w:r>
    </w:p>
    <w:p>
      <w:r>
        <w:t>a) Le recourant soutient que le tribunal s'est fondé à tort sur le rapport de gendarmerie pour retenir que, d'une part, il devait impérativement arriver à Berne à 3 h et, d'autre part, sa vitesse était inadaptée en raison d'un fort vent latéral, au point que, à plusieurs reprises, BGE 124 II 259 S. 261 la trajectoire du véhicule a été déviée sur la gauche. Selon lui, le tribunal s'est ainsi écarté sans motif des constatations de fait établies dans la procédure pénale et contenues dans l'ordonnance du juge d'instruction; ce dernier l'a en effet condamné sur la base de l' art. 90 ch. 1 LCR en tenant uniquement compte de l'excès de vitesse de 28 km/h. Le recourant observe qu'il n'avait pas de raison d'imaginer que le tribunal retiendrait d'autres faits que ceux figurant dans cette ordonnance. En particulier, il conteste avoir déclaré aux gendarmes qu'il devait être à Berne à 3 h, affirmant qu'il s'agissait de 3 h 50, et nie qu'il y ait eu du vent latéral. Le recourant fait donc valoir que seul le dépassement de vitesse doit entrer en considération; dès lors que le dépassement incriminé constitue un cas de peu de gravité, il ne peut donner lieu qu'à un avertissement et non à un retrait du permis de conduire. b) Les conditions d'un retrait de permis selon l' art. 16 LCR , spécialement sous l'angle des excès de vitesse, ont été examinées dans l' ATF 123 II 106 , auquel il convient de se référer. aa) Conformément à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Selon l' art. 16 al. 3 let. a LCR , le permis de conduire doit être retiré si le conducteur a compromis gravement la sécurité de la route. Ainsi, la loi fait la distinction entre (cf. ATF 123 II 106 consid. 2a p. 109): - le cas de peu de gravité ( art. 16 al. 2 2 ème phrase LCR); - le cas de gravité moyenne ( art. 16 al. 2 1 ère phrase LCR); - le cas grave ( art. 16 al. 3 let. a LCR ). Sur la base de l' art. 16 al. 2 LCR , l'autorité administrative peut renoncer à l'une des mesures qui y sont prévues, prononcer un avertissement ou ordonner le retrait du permis de conduire. Le choix entre ces possibilités doit se faire en fonction de la gravité du cas d'espèce. La renonciation au retrait du permis n'est en principe possible que s'il s'agit d'un cas de peu de gravité au sens de l' art. 16 al. 2 2 ème phrase LCR, ce qui doit être déterminé en premier lieu au regard de l'importance de la mise en danger de la sécurité et de la gravité de la faute, mais aussi en tenant compte des antécédents du conducteur comme automobiliste ( ATF 123 II 106 consid. 2b p. 110 s.; ATF 121 II 127 consid. 3c p. 130 et les arrêts cités). BGE 124 II 259 S. 262 bb) Sans égard aux circonstances concrètes, le dépassement de la vitesse autorisée constitue un cas grave selon l' art. 16 al. 3 let. a LCR lorsqu'il est (cf. ATF 123 II 106 consid. 2c p. 112 s.): - de 35 km/h sur une autoroute; - de 30 km/h sur une semi-autoroute dont les chaussées dans les deux directions ne sont pas séparées ( ATF 122 IV 173 ); - de 25 km/h à l'intérieur des localités ( ATF 123 II 37 ). Etant donné que la limite du cas grave est donnée par les dépassements de vitesse chiffrés ci-dessus, la limite du cas de gravité moyenne doit se situer plus bas ( ATF 123 II 106 consid. 2c p. 113). cc) Il résulte de l'arrêt précité (examinant un excès de vitesse de 32 km/h sur une autoroute; consid. 2c et d p. 113) que, en cas de dépassement de la vitesse autorisée de plus de 30 km/h commis sur une autoroute, le permis doit être retiré sur la base de l' art. 16 al. 2 1 ère phrase LCR lorsque le dépassement se situe entre 31 et 34 km/h et que les circonstances sont favorables (conditions de circulation et antécédents), et sur la base de l' art. 16 al. 3 let. a LCR lorsque les circonstances sont défavorables ou lorsque le dépassement est de 35 km/h ou plus. Dès lors, un excès de vitesse se situant peu en dessous de la limite du cas grave constitue un cas de gravité moyenne alors même que les circonstances sont favorables et doit entraîner le retrait du permis en application de l' art. 16 al. 2 1 ère phrase LCR. Dans l'hypothèse où ces circonstances sont défavorables, ce dépassement de vitesse occasionne alors le retrait du permis sur la base de l' art. 16 al. 3 let. a LCR . Au demeurant, le Tribunal fédéral a récemment précisé que lorsque la vitesse maximale générale de 50 km/h autorisée dans les localités est dépassée de 21 à 24 km/h (la limite du cas grave est de 25 km/h), il y a lieu d'admettre qu'il s'agit objectivement d'un cas de gravité moyenne au moins, sans égard aux circonstances concrètes. Même lorsque les conditions de circulation et les antécédents sont favorables, un tel dépassement implique un retrait du permis en application de l' art. 16 al. 2 1 ère phrase LCR ( ATF 124 II 97 consid. 2b p. 99 ss). Lorsque l' art. 16 al. 2 1 ère phrase LCR trouve application, il est possible, en cas de circonstances particulières, comme celles visées par l' ATF 118 Ib 229 , qu'il soit renoncé au retrait du permis de conduire ( ATF 123 II 106 consid. 2c p. 113). BGE 124 II 259 S. 263 c) En l'espèce, un dépassement de vitesse de 28 km/h a été constaté sur une route hors d'une localité. La jurisprudence n'a pas eu l'occasion de préciser la limite du cas grave à propos d'un excès de vitesse commis hors d'une localité, sur une route ordinaire où la vitesse est limitée à 80 km/h (art. 4a al. 1 let. b de l'ordonnance sur les règles de la circulation routière [OCR; RS 741.11]). Il n'y a cependant pas lieu de fixer une limite distincte de celle de 30 km/h valant sur une semi-autoroute dont les chaussées dans les deux directions ne sont pas séparées, limite définie à l' ATF 122 IV 173 et rappelée plus haut (consid. 2b/bb). Il s'agit en effet, dans chaque cas, de routes où la voie allant dans une direction n'est séparée de celle venant en sens inverse que par une ligne de sécurité tracée sur la chaussée; il existe donc un important risque de collision frontale susceptible d'engendrer de graves conséquences. Par ailleurs, on peut observer que, s'agissant du dépassement de la vitesse maximale autorisée, les routes hors des localités et les semi-autoroutes sont traitées sur le même pied dans l'ordonnance sur les amendes d'ordre (RS 741.031; annexe 1 no 303.2). Aussi, ces similitudes justifient-elles de retenir que celui qui dépasse de 30 km/h ou plus la vitesse maximale autorisée de 80 km/h hors des localités commet objectivement une infraction grave aux règles de la circulation, sans égard aux circonstances concrètes du cas. Le dépassement de vitesse incriminé (28 km/h) se situe donc très peu au-dessous de cette limite de 30 km/h pour le cas grave. Dès lors, il n'est pas douteux que ce dépassement constitue, objectivement et sans égard aux circonstances concrètes, un cas de gravité moyenne. A l'instar des fourchettes établies pour les dépassements de vitesse sur une autoroute (31 à 34 km/h) et à l'intérieur d'une localité (21 à 24 km/h), il faut admettre que le cas est de gravité moyenne pour un excès de vitesse de 26 à 29 km/h hors d'une localité. Il faut évidemment rappeler que, à l'intérieur de cette fourchette, il se peut que le cas soit grave si les circonstances concrètes sont défavorables; de même, en raison de telles circonstances, le cas peut être grave ou de gravité moyenne, alors que l'excès de vitesse se situe au-dessous de cette fourchette. Ainsi, contrairement à ce que soutient le recourant, l'autorité cantonale ne pouvait pas se contenter de prononcer un avertissement, le cas d'espèce n'étant pas de peu de gravité au sens de l' art. 16 al. 2 2 ème phrase LCR; compte tenu de l'excès de vitesse de 28 km/h, elle devait au moins retirer le permis du recourant sur la base de l' art. 16 al. 2 1 ère phrase LCR. Il n'existe en outre pas de circonstances BGE 124 II 259 S. 264 particulières, telles que définies dans l' ATF 118 Ib 229 , qui permettraient de renoncer au retrait prononcé selon cette disposition. Au surplus, la seule question portée devant la cour de céans a trait au bien-fondé de la mesure de retrait; il n'est donc pas nécessaire d'examiner les circonstances concrètes du cas et les critiques du recourant à leur égard, dès lors qu'indépendamment de ces circonstances, le retrait se justifie déjà par le dépassement de vitesse commis. Enfin, le droit fédéral n'est pas non plus violé par la durée du retrait, fixée à un mois, soit la durée minimale prévue par la loi ( art. 17 al. 1 let. a LCR ) Le recours se révèle ainsi infondé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