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478</w:t>
      </w:r>
    </w:p>
    <w:p>
      <w:r>
        <w:t>Bundesgericht (BGE), 1998-01-01, DE</w:t>
      </w:r>
    </w:p>
    <w:p>
      <w:r>
        <w:rPr>
          <w:b/>
        </w:rPr>
        <w:t xml:space="preserve">Quelle: </w:t>
      </w:r>
      <w:r>
        <w:t>https://mcp.opencaselaw.ch/entscheid/bge_BGE_124_III_478</w:t>
      </w:r>
    </w:p>
    <w:p>
      <w:r>
        <w:t>FR: ATF 124 III 478</w:t>
      </w:r>
    </w:p>
    <w:p>
      <w:r>
        <w:t>IT: DTF 124 III 478</w:t>
      </w:r>
    </w:p>
    <w:p>
      <w:pPr>
        <w:pStyle w:val="Heading2"/>
      </w:pPr>
      <w:r>
        <w:t>Regeste</w:t>
      </w:r>
    </w:p>
    <w:p>
      <w:r>
        <w:t>Regeste Gesamtarbeitsvertrag; Einsetzung eines besonderen Kontrollorgans; Berufungsfähigkeit (Art. 6 Abs. 1 und 2 AVEG; Art. 46 OG). Der Entscheid, mit welchem ein besonderes Kontrollorgan eingesetzt und der Gegenstand der Kontrolle umschrieben wird, ist nicht berufungsfähig (E. 2).</w:t>
      </w:r>
    </w:p>
    <w:p>
      <w:r>
        <w:t>Regeste Convention collective de travail; institution d'un organe spécial de contrôle; recevabilité du recours en réforme (art. 6 al. 1 et 2 LECCT; art. 46 OJ). La décision par laquelle un organe spécial de contrôle est institué et l'objet du contrôle défini n'est pas susceptible de recours en réforme (consid. 2).</w:t>
      </w:r>
    </w:p>
    <w:p>
      <w:r>
        <w:t>Regesto Contratto collettivo di lavoro; istituzione di un organo speciale di controllo; ammissibilità del ricorso per riforma (art. 6 cpv. 1 e 2 LOCCL; art. 46 OG). Non può essere impugnata con ricorso per riforma la decisione con la quale viene istituito un organo speciale di controllo e definito l'oggetto del controllo (consid. 2).</w:t>
      </w:r>
    </w:p>
    <w:p>
      <w:pPr>
        <w:pStyle w:val="Heading2"/>
      </w:pPr>
      <w:r>
        <w:t>Erwägungen</w:t>
      </w:r>
    </w:p>
    <w:p>
      <w:r>
        <w:rPr>
          <w:b/>
        </w:rPr>
        <w:t>E. 2</w:t>
      </w:r>
    </w:p>
    <w:p>
      <w:r>
        <w:t>Der Regierungsrat hat in seiner Rechtsmittelbelehrung auf die Berufung hingewiesen. Soweit ersichtlich hat das Bundesgericht bis anhin die Frage nie entschieden, ob kantonale Entscheide berufungsfähig sind, mit denen ein besonderes Kontrollorgan i.S. von Art. 6 des Bundesgesetzes über die Allgemeinverbindlicherklärung von Gesamtarbeitsverträgen (AVEG; SR 221.215.311) bezeichnet sowie Gegenstand und Umfang der Kontrolle umschrieben werden. In BGE 118 II 528 f. hat das Bundesgericht lediglich festgehalten, dass der Entscheid über die Anordnung einer Lohnkontrolle mit eidgenössischer Berufung angefochten werden kann, da insoweit über den zivilrechtlichen Anspruch der Parteien eines Gesamtarbeitsvertrages auf Kontrolle gemäss Art. 6 AVEG entschieden wird. Ob sich der BGE 124 III 478 S. 480 Kläger überhaupt einer Lohnkontrolle zu unterziehen hat, ist vorliegend nicht mehr zu prüfen. Darüber hat das Obergericht am 21. November 1997 bereits rechtskräftig entschieden. Vorliegend geht es noch darum, in Vollstreckung dieses Entscheides das Kontrollorgan zu bestimmen sowie Gegenstand und Umfang der Kontrolle präzise zu umschreiben. Gegenstand des vorliegenden Streites sind weder subjektive Rechte der Parteien noch irgendwelche, unter ihnen bestehende Rechsverhältnisse. Der Regierungsrat hat mit der Einsetzung des Einigungsamtes als besonderem Kontrollorgan und der Konkretisierung des Kontrollgegenstandes erst die Behörde bezeichnet, welche die für die Abklärung einer allfälligen Verletzung des LMV notwendigen Tatsachen feststellen soll. Über allfällige Pflicht- oder Rechtsverletzungen und damit über Ansprüche aus Bundeszivilrecht wird im Rahmen der Kontrolle nicht entschieden; die rechtliche Würdigung der Kontrollergebnisse bleibt - wie bereits im Verfahren der staatsrechtlichen Beschwerde aufgezeigt - den hiefür zuständigen Zivilgerichten und allenfalls weiteren Behörden und Gerichten in einem eigenen Verfahren überlassen. Ähnlich der Ernennung einer bestimmten Person als Vormund oder Beistand ( BGE 107 II 504 E. 2), der Abberufung eines Willensvollstreckers wegen mangelnder Eignung (ZBJV 131 [1995], 36) oder der Bestimmung von notwendigen baulichen Massnahmen gemäss Art. 647c ZGB ( BGE 120 II 11 E. 2) liegt auch im vorliegenden Fall keine Zivilrechtsstreitigkeit vor und ist daher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