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406</w:t>
      </w:r>
    </w:p>
    <w:p>
      <w:r>
        <w:t>Bundesgericht (BGE), 1998-01-01, DE</w:t>
      </w:r>
    </w:p>
    <w:p>
      <w:r>
        <w:rPr>
          <w:b/>
        </w:rPr>
        <w:t xml:space="preserve">Quelle: </w:t>
      </w:r>
      <w:r>
        <w:t>https://mcp.opencaselaw.ch/entscheid/bge_BGE_124_III_406</w:t>
      </w:r>
    </w:p>
    <w:p>
      <w:r>
        <w:t>FR: ATF 124 III 406</w:t>
      </w:r>
    </w:p>
    <w:p>
      <w:r>
        <w:t>IT: DTF 124 III 406</w:t>
      </w:r>
    </w:p>
    <w:p>
      <w:pPr>
        <w:pStyle w:val="Heading2"/>
      </w:pPr>
      <w:r>
        <w:t>Regeste</w:t>
      </w:r>
    </w:p>
    <w:p>
      <w:r>
        <w:t>Regeste Berufung gegen ein Teilurteil, in dem die Gültigkeit von zwei Testamenten nur bezüglich des zuletzt verfassten beurteilt worden war (Art. 48 Abs. 1 OG und Art. 50 Abs. 1 OG); Auslegung dieses Testamentes. Gegen ein Teilurteil betreffend die Ungültigkeit von Testamenten im Rahmen einer Klage auf Teilung des Nachlasses ist die Berufung zulässig (E. 1a). Ist das Urteil bezüglich der Gültigkeit des letzten Testamentes berufungsfähig, so ist auch die Berufung gegen den Nichteintretensbeschluss hinsichtlich des älteren Testamentes zulässig; denn die innere Verknüpfung zwischen den beiden letztwilligen Verfügungen und den darauf beruhenden Entscheiden verbietet endgültig, dass der gleiche Anspruch nochmals geltend gemacht werden kann (E. 1b). Ob ein Testament gültig ist, es insbesondere überhaupt einen materiellen Inhalt aufweist, entscheidet sich aufgrund der gesamten eigenhändigen Aufzeichnungen des Erblassers. Hat dieser in einem früheren Testament eine Abänderung vorgenommen und diese im letzten für gültig erklärt, kann im Rahmen der Auslegung, welche Testamente nach dem Willen des Erblassers aufgehoben sind, das frühere unbekümmert um seine Rechtswirksamkeit herangezogen werden (E. 3).</w:t>
      </w:r>
    </w:p>
    <w:p>
      <w:r>
        <w:t>Regeste Recours en réforme contre un jugement partiel portant sur la validité de deux testaments, mais ne tranchant la question qu'à l'égard de celui rédigé en dernier lieu (art. 48 al. 1 OJ et art. 50 al. 1 OJ); interprétation de ce testament. Le recours en réforme est recevable contre un jugement partiel traitant de la nullité de testaments dans le cadre d'une action en partage de la succession (consid. 1a). Si le jugement est susceptible de recours sur la question de la validité du testament rédigé en dernier lieu, il l'est également sur celle du refus d'entrer en matière touchant le testament plus ancien; le lien unissant intimement les deux dispositions de dernière volonté et les décisions auxquelles elles ont donné lieu empêche en effet définitivement que l'on puisse faire valoir une nouvelle fois la même prétention (consid. 1b). La validité d'un testament, et tout particulièrement son contenu matériel, s'examinent sur la base de l'ensemble des notes écrites de la propre main du testateur. Cas du testateur qui, dans son dernier testament, déclare valable une modification opérée dans un testament antérieur: pour déterminer quels testaments le testateur a entendu annuler, l'on peut prendre en considération le testament antérieur sans égard à sa validité juridique (consid. 3).</w:t>
      </w:r>
    </w:p>
    <w:p>
      <w:r>
        <w:t>Regesto Ricorso per riforma contro un giudizio parziale, in cui è stata giudicata la validità di due testamenti unicamente con riferimento a quello allestito per ultimo (art. 48 cpv. 1 OG e art. 50 cpv. 1 OG); interpretazione di questo testamento. Il ricorso per riforma è ammissibile contro giudizi parziali concernenti la nullità di testamenti nell'ambito di un'azione di divisione della successione (consid. 1a). Se la sentenza concernente la validità dell'ultimo testamento è suscettibile di un ricorso per riforma, lo è pure la decisione di irricevibilità concernente il precedente testamento; il legame interno tra le due disposizioni di ultima volontà e le relative decisioni impediscono che la medesima pretesa venga fatta valere ancora una volta (consid. 1b). La validità di un testamento, segnatamente la questione di sapere se ha un contenuto sostanziale, è stabilita sulla base di tutti gli scritti redatti di proprio pugno dal testatore. Se quest'ultimo, in un testamento anteriore, ha apportato una modifica, che ha poi dichiarato di mantenere sul successivo testamento, ben ci si può fondare nell'interpretazione di quest'ultimo atto sulla disposizione anteriore (valida o no che fosse) per stabilire quali testamenti sono stati revocati secondo la volontà del testatore (consid. 3).</w:t>
      </w:r>
    </w:p>
    <w:p>
      <w:pPr>
        <w:pStyle w:val="Heading2"/>
      </w:pPr>
      <w:r>
        <w:t>Erwägungen</w:t>
      </w:r>
    </w:p>
    <w:p>
      <w:r>
        <w:rPr>
          <w:b/>
        </w:rPr>
        <w:t>E. 1</w:t>
      </w:r>
    </w:p>
    <w:p>
      <w:r>
        <w:t>Das Bezirksgericht hat das Verfahren auf die Frage der Gültigkeit der beiden letztwilligen Verfügungen vom 14. Juni und 26. Juli 1989 beschränkt und wie in der Folge auch das Obergericht bloss darüber, nicht aber über die weiteren Begehren, insbesondere jenes auf Teilung des Nachlasses, befunden. a) Ob Testamente gültig sind, bildet materiellrechtliche Vorfrage der Teilung, deren Beantwortung diese präjudiziert. Wird die Gültigkeit des Testaments wie hier zum Gegenstand eines besonderen Rechtsbegehrens neben anderen - insbesondere jenem auf Teilung des Nachlasses - gemacht, so stellt der Entscheid darüber ein Teilurteil, nicht einen Vor- oder Zwischenentscheid dar, falls wie vorliegend die anderen Begehren unbeurteilt geblieben sind; denn es wird über eines der gestellten mehreren Klagebegehren in vollstreckungsfähiger Erledigung, nicht lediglich über eine streitige, Prozess- oder Anspruchsvoraussetzungen betreffende Vor- oder Zwischenfrage entschieden, von deren Beantwortung zwar das Schicksal von Klagebegehren abhängt, die aber unbeurteilt bleiben ( BGE 104 II 285 E. 1b; BGE 107 II 352 E. 2, je mit Hinweisen; POUDRET, Commentaire de la loi fédérale d'organisation judiciaire, N. 1.1.7.1 zu Art. 48 OG ; MESSMER/IMBODEN, Die eidgenössischen Rechtsmittel in Zivilsachen, Ziff. 69, S. 97; WURZBURGER, Les conditions objectives du recours en réforme au Tribunal fédéral, S. 196 Nr. 267; VOGEL, Grundriss des Zivilprozessrechts, 4. Auflage 1997, 7. Kapitel, N. 95; FRANK/STRÄULI/MESSMER, Kommentar zur zürcherischen Zivilprozessordnung, 3. Auflage 1997, N. 2 f. zu § 189 ZPO /ZH). Teilurteile sind mit Berufung selbständig anfechtbar, wenn die davon erfassten Begehren zum Gegenstand eines gesonderten Prozesses hätten gemacht werden können, und deren Beurteilung für den Entscheid über die verbleibenden Begehren präjudiziell ist ( BGE 123 III 140 E. 2a; BGE 117 II 349 E. 2a, je mit Hinweisen). Das Begehren auf Ungültigerklärung der beiden Testamente hätte für sich allein, also nicht notwendigerweise und nur im Zusammenhang mit anderen Begehren, insbesondere jenem auf Teilung des Nachlasses, anhängig gemacht werden können; dessen Beurteilung präjudiziert BGE 124 III 406 S. 410 den Entscheid über die restlichen Begehren, zumal sich je danach, ob der Betreffende als Erbe am Nachlass überhaupt beteiligt ist, die Teilungsquoten und -betreffnisse verändern. Das Obergericht stellt unwidersprochen fest, mit der vorgängigen Beurteilung der Gültigkeit der beiden Testamente könne in erheblichem Masse Kosten und Zeit gespart werden. Es kann daher offen gelassen werden, ob das für die Anfechtung anderer selbständiger Vor- oder Zwischenentscheide gemäss Art. 50 Abs. 1 OG verlangte Erfordernis, es müsse ein bedeutender Aufwand an Zeit und Kosten für ein weitläufiges Beweisverfahren erspart werden können, so dass die gesonderte Anrufung des Bundesgerichts gerechtfertigt erscheine, in der Regel auch für Teilurteile gelte ( BGE 123 III 140 E. 2a mit Hinweisen). Die Pflicht zur Begründung des Vorliegens der besonderen Eintretensvoraussetzungen des Art. 50 Abs. 1 OG ( BGE 118 II 91 E. 1a), die im Übrigen in der Literatur unter Hinweis auf Art. 55 Abs. 1 OG in Frage gestellt wird (POUDRET, a.a.O., N. 2.6 zu Art. 50 OG ; BIRCHMEIER, SJK 937 S. 7 Ziff. 5; WURZBURGER, a.a.O., S. 295 Nr. 309 und S. 11 Nr. 9), kann nicht, jedenfalls nicht ohne weiteres auch für Teilurteile bejaht werden, die unter Art. 48 OG fallen ( BGE 104 II 285 E. 1b); denn diese Bestimmung enthält keinerlei Art. 50 Abs. 1 OG entsprechende Vorbehalte. Die Eintretensvoraussetzungen nicht besonders begründet zu haben, kann dem Kläger daher nicht schaden, umso mehr als die Zulässigkeit der Berufung von Amtes wegen und frei zu prüfen ist ( BGE 120 II 270 E. 1 und 352 E. 1, je mit Hinweisen). b) Der Entscheid des Obergerichts ist in zwei mit unterschiedlicher Rechtsmittelbelehrung versehene Teile gegliedert: einen Beschluss, durch welchen auf das Begehren, die letztwillige Verfügung vom 14. Juni 1989 ungültig zu erklären, nicht eingetreten wird, und ein Urteil, durch welches das Begehren, die letztwillige Verfügung vom 26. Juli 1989 ungültig zu erklären, abgewiesen und deren Gültigkeit festgestellt wird. Der Kläger ficht beide mit Berufung an. Aus der allenfalls unrichtigen Rechtsmittelbelehrung im Beschluss des Obergerichts, welche das Bundesgericht ohnehin nicht zu binden vermöchte, kann dem Kläger daher kein Nachteil erwachsen sein, der zu beheben wäre ( BGE 117 II 508 E. 2 S. 511 mit Hinweisen). Beim Erkenntnis, die letztwillige Verfügung vom 26. Juli 1989 sei gültig, handelt es sich um einen Entscheid, durch den materiell in der Sache befunden worden ist; als solches kann es mit Berufung angefochten werden ( BGE 122 III 92 E. 2a). Berufungsfähig wäre BGE 124 III 406 S. 411 - ebenso für sich allein betrachtet - der Nichteintretensbeschluss, sofern durch diesen die Beurteilung der Gültigkeit des Testamentes vom 14. Juni 1989 aus einem Grund abgelehnt worden wäre, der endgültig verbietet, dass der gleiche Anspruch nochmals geltend gemacht werden kann ( BGE 120 II 352 E. 1b mit Hinweisen). Ist dieses Erfordernis strikt und in dem Sinne zu verstehen, dass nur die allein und unmittelbar aus diesem Grund sich ergebende rechtliche Unmöglichkeit erneuter Klageanhebung beachtlich ist ( BGE 86 II 123 ), wäre es durch den Nichteintretensbeschluss nicht erfüllt; und das Gleiche gälte bei fehlendem Rechtsschutzinteresse. Bei dieser restriktiven Zulassungspraxis, welche von POUDRET (a.a.O., N. 1.1.4 zu Art. 48 OG ) kritisiert wird, wäre fraglich, ob nicht auch eine im Zusammenwirken mit anderen Gründen eingetretene rechtliche Unmöglichkeit (z.B. die Verjährung nach Art. 521 ZGB ) zu verhindern vermöchte, dass der materielle Anspruch erneut Gegenstand eines Prozesses werde. Nichts schliesst jedoch aus, dass sich das Rechtsschutzinteresse nachträglich einstellen kann. Vorliegend besteht indessen eine besondere Konstellation, indem in ein und demselben, auf die Frage der Gültigkeit der beiden letztwilligen Verfügungen beschränkten Verfahren durch einen einzigen Entscheid - allerdings in Beschluss und Urteil aufgegliedert - über die beiden Ungültigkeitsbegehren befunden worden ist; letztere hängen insofern voneinander ab, als die Abweisung des Ungültigkeitsbegehrens betreffend das Testament vom 26. Juli 1989 notwendigerweise das Rechtsschutzinteresse für das Ungültigkeitsbegehren betreffend die letztwillige Verfügung vom 14. Juni 1989 dahinfallen lässt. Diese innere Verknüpfung erlaubt eine getrennte, voneinander losgelöste Betrachtungsweise nicht, welche dazu führte, dass auf die gegen den Nichteintretensbeschluss gerichtete Berufung mangels Endgültigkeit desselben, damit aber auch auf die Berufung gegen die Feststellung der Gültigkeit der letztwilligen Verfügung vom 26. Juli 1989 nicht eingetreten werden könnte. Für deren Beurteilung mangelte das Interesse, wenn die Ungültigkeit des Testaments vom 14. Juni 1989, welches die Anordnung der gesetzlichen Erbfolgen enthält, nicht festgestellt, dieses also als gültig zu betrachten wäre. Solange das Urteil, die letztwillige Verfügung vom 26. Juli 1989 sei gültig, besteht - und das trifft bei Prüfung der Eintretensvoraussetzungen unbekümmert darum zu, ob es bei Abschluss des Berufungsverfahrens noch Bestand habe -, ist ein Nichteintreten auf das Ungültigkeitsbegehren bezüglich des Testaments vom 14. Juni 1989 ausgeschlossen. Denn der Konnex zwischen den BGE 124 III 406 S. 412 beiden letztwilligen Verfügungen und den darauf beruhenden Entscheiden verbietet endgültig, dass der gleiche Anspruch nochmals geltend gemacht werden kann. Auch auf die gegen den Nichteintretensbeschluss gerichtete Berufung ist deshalb einzutreten. c) Der für die Berufung erforderliche, wenigstens Fr. 8'000.-- betragende Streitwert ist erreicht. d) Soweit die Berufungsanträge über die Begehren auf Ungültigkeitserklärung der letztwilligen Verfügungen vom 14. Juni und 26. Juli 1989 hinausgehen, auf deren Beurteilung das kantonale Verfahren beschränkt worden ist, kann auf die Berufung nicht eingetreten werden.</w:t>
      </w:r>
    </w:p>
    <w:p>
      <w:r>
        <w:rPr>
          <w:b/>
        </w:rPr>
        <w:t>E. 3</w:t>
      </w:r>
    </w:p>
    <w:p>
      <w:r>
        <w:t>Die letztwillige Verfügung vom 26. Juli 1989 ist vom Erblasser mit "Testamentaufhebung" überschrieben, und er bestätigt im Folgenden darin, dass er die am 14. Juni 1989 geschriebene Abänderung - womit er anerkanntermassen jene in seiner letztwilligen Verfügung vom 14. Juni 1989 meint - als gültig erkläre. Das Obergericht schränkt die Prüfung der Gültigkeit der letztwilligen Verfügung vom 26. Juli 1989 auf diese Bestätigung ein. Das erweist sich im Ansatz als unzutreffend; ob ein Testament gültig ist, es insbesondere überhaupt einen materiellen Inhalt aufweist, entscheidet sich aufgrund der gesamten eigenhändigen Aufzeichnung des Erblassers, wenn es wie hier insgesamt den Formerfordernissen genügt. Als Ganzes betrachtet weist die letztwillige Verfügung vom 26. Juli 1989 sehr wohl eine erbrechtliche Anordnung minimalen materiellen Inhalts auf, infolge ihrer dahingehenden Kennzeichnung nämlich den erklärten Willen des Erblassers einer Testamentaufhebung; sie ist so betrachtet also nicht inhaltslos, wie der Kläger es geltend macht, und sie erschöpft sich ebenso wenig in einem blossen Verweis auf eine frühere letztwillige Verfügung. Welche Testamente dieser Wille auf Aufhebung umschliesst, hat der Erblasser in der letztwilligen Verfügung vom 26. Juli 1989 allerdings nicht näher umschrieben. Zur Erhellung dessen, was wie hier als Wille des Erblassers zwar klar, aber in unvollständiger Weise zum Ausdruck gebracht wurde, ist Auslegung zulässig ( BGE 101 II 31 E. 3 S. 35); diese kann jedoch nicht dazu dienen, einen in der letztwilligen Verfügung nicht zum Ausdruck gebrachten Willen des Erblassers in diese einzuführen ( BGE 109 II 403 E. 2b S. 406 mit Hinweisen). Bei Auslegung der Willenserklärung ist der Gesamtheit des Testaments Rechnung zu tragen, und es können auch ausserhalb der Testamentsurkunde liegende Elemente, Umstände und Beweismittel dazu herangezogen werden ( BGE 120 II 182 E. 2a und BGE 117 II 142 E. 2a, je BGE 124 III 406 S. 413 mit Hinweisen). Wenn der Erblasser in der letztwilligen Verfügung vom 26. Juli 1989, nachdem er den Willen zur Testamentaufhebung geäussert hat, bestätigt, dass er die am 14. Juni 1989 geschriebene Abänderung als gültig erkläre, so ist daraus zweifelsfrei zu entnehmen, dass er gerade diese Abänderung auf keinen Fall aufheben wollte. Als Beweismittel für den Inhalt der Abänderung, die in der letztwilligen Verfügung vom 26. Juli 1989 auch nicht ansatzweise wiedergegeben wird, beispielsweise durch Bezugnahme auf die gesetzliche Erbfolge, kann im Rahmen der Auslegung, welche Testamente nach dem Willen des Erblassers aufgehoben sind, die letztwillige Verfügung vom 14. Juli 1989 unbekümmert darum, ob sie als solche rechtswirksam ist oder nicht, ohne weiteres herangezogen werden. Aus dieser geht hervor, dass die früheren letztwilligen Verfügungen widerrufen sind und in Bezug auf den Nachlass die gesetzliche Regelung gelten soll. Ging der vom Erblasser in der letztwilligen Verfügung vom 26. Juli 1989 geäusserte Wille auf Testamentaufhebung, gemäss dessen Auslegung aber nicht auf Aufhebung der Abänderung, durch welche er die gesetzliche Erbfolge in seinen Nachlass angeordnet hatte, so bleibt als Ergebnis der Auslegung, dass nach dem Willen des Erblassers lediglich alle übrigen letztwilligen Verfügungen aufgehoben sind. Das führt zur gesetzlichen Erbfolge und damit zur Abweisung der Ungültigkeitsklage betreffend die letztwillige Verfügung vom 26. Juli 1989. Dann bleibt es aber auch beim Nichteintreten auf die Ungültigkeitsklage betreffend die letztwillige Verfügung vom 14. Juni 1989, für welche jedes Rechtsschutzinteresse fehlt, wenn sich der Wille des Erblassers der gültigen letztwilligen Verfügung vom 26. Juli 1989 entnehmen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