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286</w:t>
      </w:r>
    </w:p>
    <w:p>
      <w:r>
        <w:t>Bundesgericht (BGE), 1998-01-01, DE</w:t>
      </w:r>
    </w:p>
    <w:p>
      <w:r>
        <w:rPr>
          <w:b/>
        </w:rPr>
        <w:t xml:space="preserve">Quelle: </w:t>
      </w:r>
      <w:r>
        <w:t>https://mcp.opencaselaw.ch/entscheid/bge_BGE_124_III_286</w:t>
      </w:r>
    </w:p>
    <w:p>
      <w:r>
        <w:t>FR: ATF 124 III 286</w:t>
      </w:r>
    </w:p>
    <w:p>
      <w:r>
        <w:t>IT: DTF 124 III 286</w:t>
      </w:r>
    </w:p>
    <w:p>
      <w:pPr>
        <w:pStyle w:val="Heading2"/>
      </w:pPr>
      <w:r>
        <w:t>Regeste</w:t>
      </w:r>
    </w:p>
    <w:p>
      <w:r>
        <w:t>Regeste Art. 193 SchKG; Art. 593 Abs. 1 ZGB. Einem Erben, der die Erbschaft unter öffentlichem Inventar angenommen oder die amtliche Liquidation verlangt hat, können die Kosten des Konkursverfahrens nicht auferlegt werden, wenn in der Folge - wegen Überschuldung der Erbschaft - die Erbschaftsbehörde das Konkursgericht benachrichtigt und dieses die konkursamtliche Liquidation anordnet.</w:t>
      </w:r>
    </w:p>
    <w:p>
      <w:r>
        <w:t>Regeste Art. 193 LP; art. 593 al. 1 CC. Les frais de la procédure de faillite ne peuvent pas être mis à la charge d'un héritier qui a accepté la succession sous bénéfice d'inventaire ou qui a requis la liquidation officielle, quand ultérieurement - en raison de l'insolvabilité de la succession - l'autorité compétente en matière successorale informe le juge et que celui-ci ordonne la liquidation selon les règles de la faillite.</w:t>
      </w:r>
    </w:p>
    <w:p>
      <w:r>
        <w:t>Regesto Art. 193 LEF; art. 593 cpv. 1 CC. Non possono essere messi a carico di un erede che ha accettato l'eredita con il beneficio dell'inventario o ne ha chiesto la liquidazione d'ufficio, i costi della procedura di fallimento, se successivamente - poiché l'eredità risulta oberata - l'autorità competente in materia di successioni informa il giudice del fallimento e questi ordina la liquidazione in via di fallimento.</w:t>
      </w:r>
    </w:p>
    <w:p>
      <w:pPr>
        <w:pStyle w:val="Heading2"/>
      </w:pPr>
      <w:r>
        <w:t>Erwägungen</w:t>
      </w:r>
    </w:p>
    <w:p>
      <w:r>
        <w:rPr>
          <w:b/>
        </w:rPr>
        <w:t>E. 3</w:t>
      </w:r>
    </w:p>
    <w:p>
      <w:r>
        <w:t>Das Kantonsgericht St. Gallen hat die Verfügung des Konkursamtes des Kantons St. Gallen vom 7. April 1998, womit der Beschwerdeführerin die Kosten des Konkursverfahrens in der Höhe von Fr. 1'779.60 auferlegt wurden, geschützt. Dabei hat es jedoch offenbar verkannt, dass die Beschwerdeführerin nicht die konkursamtliche Liquidation verlangt, sondern die Erbschaft unter öffentlichem Inventar angenommen hat. a) Die Kosten des Konkursverfahrens können Erben auferlegt werden, wenn sie selber nach Massgabe von Art. 193 Abs. 3 SchKG die konkursamtliche Liquidation verlangen. Indessen ist die Kostenauflage unzulässig, wenn ein Erbe die Erbschaft unter öffentlichem Inventar annimmt oder die amtliche Liquidation verlangt ( Art. 593 Abs. 1 ZGB ) und in der Folge die Erbschaftsbehörde das Konkursgericht benachrichtigt und dieses die konkursamtliche Liquidation BGE 124 III 286 S. 288 anordnet ( Art. 193 Abs. 1 und 2 SchKG , Art. 597 ZGB ; siehe AMONN/GASSER, Grundriss des Schuldbetreibungs- und Konkursrechts, 6. Auflage Bern 1997, § 38, N. 42 im Gegensatz zu N. 41). b) Nach den für die erkennende Kammer verbindlichen Feststellungen der kantonalen Aufsichtsbehörde (Art. 63 Abs. 2 in Verbindung mit Art. 81 OG ) hat die Beschwerdeführerin die Erbschaft unter öffentlichem Inventar angenommen. Wegen Überschuldung der Erbschaft hat das Bezirksamt Gaster als Erbschaftsbehörde am 18. November 1997 den Antrag auf konkursamtliche Liquidation gestellt. Deren Kosten konnten nach dem oben Gesagten nicht der Beschwerdeführerin auferlegt werden; und daran vermögen auch die Überlegungen der kantonalen Aufsichtsbehörde nichts zu ändern: Wenn sie im angefochtenen Entscheid zwar richtigerweise davon ausgeht, dass sich das konkursamtliche Liquidationsverfahren nach Art. 194 SchKG und nach den allgemeinen Vorschriften des Konkursrechtes richtet (MARTIN KARRER, in: Honsell/Vogt/Geiser, Kommentar zum Schweizerischen Privatrecht, N. 10 zu Art. 597 ZGB ), so beruft sich anderseits die Beschwerdeführerin zu Recht auf ebendiese Stelle in der Literatur, wo - unter Hinweis auf Art. 262 SchKG - auch gesagt wird, dass sämtliche Kosten aus Eröffnung und Durchführung des Konkursverfahrens zu Lasten der Masse gingen und dass die Erben nicht belastet werden könnten, wenn die Masse ungenügend sei (vgl. auch BGE 71 III 164 , S. 170). Gestützt auf Art. 169 SchKG (in Verbindung mit Art. 194 SchKG ) kann die Beschwerdeführerin deshalb nicht belangt werden, weil nicht sie, sondern die Erbschaftsbehörde die konkursamtliche Liquidation beantragt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