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211</w:t>
      </w:r>
    </w:p>
    <w:p>
      <w:r>
        <w:t>Bundesgericht (BGE), 1998-01-01, FR</w:t>
      </w:r>
    </w:p>
    <w:p>
      <w:r>
        <w:rPr>
          <w:b/>
        </w:rPr>
        <w:t xml:space="preserve">Quelle: </w:t>
      </w:r>
      <w:r>
        <w:t>https://mcp.opencaselaw.ch/entscheid/bge_BGE_124_III_211</w:t>
      </w:r>
    </w:p>
    <w:p>
      <w:r>
        <w:t>FR: ATF 124 III 211</w:t>
      </w:r>
    </w:p>
    <w:p>
      <w:r>
        <w:t>IT: DTF 124 III 211</w:t>
      </w:r>
    </w:p>
    <w:p>
      <w:pPr>
        <w:pStyle w:val="Heading2"/>
      </w:pPr>
      <w:r>
        <w:t>Regeste</w:t>
      </w:r>
    </w:p>
    <w:p>
      <w:r>
        <w:t>Regeste Pfändung eines zum Teil aus Mitteln der beruflichen Vorsorge erworbenen Grundstücks (Art. 30c BVG und Art. 30e BVG; Art. 92 Abs. 1 Ziff. 10 SchKG). Die kantonalen Aufsichtsbehörden müssen allfällige Wirkungen, welche die Verfügungsbeschränkung gemäss Art. 30e BVG auf das Verwertungsverfahren hat, prüfen und ihnen gegebenenfalls unabhängig davon Rechnung tragen, ob die Verfügungsbeschränkung im Grundbuch angemerkt ist (E. 1). Ein Grundstück, welches aus dem Vorbezug von Freizügigkeitsleistungen im Sinne von Art. 30c BVG erworben worden ist, kann gepfändet werden, und demzufolge ist Art. 92 Abs. 1 Ziff. 10 SchKG nicht anwendbar (E. 2).</w:t>
      </w:r>
    </w:p>
    <w:p>
      <w:r>
        <w:t>Regeste Saisie d'un immeuble acquis en partie au moyen des avoirs de la prévoyance professionnelle (art. 30c LPP et art. 30e LPP; art. 92 al. 1 ch. 10 LP). Les autorités cantonales de surveillance doivent examiner l'incidence éventuelle de la restriction du droit d'aliéner prévue par l'art. 30e LPP sur la procédure de réalisation en cours et en tenir compte, le cas échéant, indépendamment même de la mention de la restriction du droit d'aliéner au registre foncier (consid. 1). Un bien immobilier acquis au moyen du versement anticipé de la prestation de libre passage au sens de l'art. 30c LPP peut être saisi, l'art. 92 al. 1 ch. 10 LP étant inapplicable en pareil cas (consid. 2).</w:t>
      </w:r>
    </w:p>
    <w:p>
      <w:r>
        <w:t>Regesto Pignoramento di un fondo acquistato in parte con averi della previdenza professionale (art. 30c LPP e art. 30e LPP; art. 92 cpv. 1 n. 10 LEF). Le autorità cantonali di sorveglianza devono esaminare l'eventuale incidenza, sulla procedura di realizzazione in corso, della restrizione del diritto di alienazione prevista dall'art. 30e LPP e tenerne, se del caso, conto indipendentemente dalla sua menzione a registro fondiario (consid. 1). Un fondo, acquistato con un prelievo anticipato della prestazione di libero passaggio ai sensi dell'art. 30c LPP può essere pignorato, non essendo in un siffatto caso applicabile l'art. 92 cpv. 1 n. 10 LEF (consid. 2).</w:t>
      </w:r>
    </w:p>
    <w:p>
      <w:pPr>
        <w:pStyle w:val="Heading2"/>
      </w:pPr>
      <w:r>
        <w:t>Erwägungen</w:t>
      </w:r>
    </w:p>
    <w:p>
      <w:r>
        <w:rPr>
          <w:b/>
        </w:rPr>
        <w:t>E. 1</w:t>
      </w:r>
    </w:p>
    <w:p>
      <w:r>
        <w:t>Aux termes de l'arrêt attaqué, le débiteur ne pouvait se prévaloir après coup, soit postérieurement à l'exécution de la saisie, d'un motif d'insaisissabilité qui n'existait pas lorsque la saisie a été imposée sur l'immeuble incriminé. Le recourant reproche à la Cour cantonale, à ce propos, de vouloir faire dépendre le caractère d'insaisissabilité de la mention au registre foncier de la restriction du droit d'aliéner selon l' art. 30e LPP . a) Contrairement à ce que semble retenir l'arrêt attaqué (consid. 2 p. 6), la restriction en cause ne peut faire l'objet, aux termes de la loi, que d'une mention au sens des art. 962 CC et 78 ss de l'ordonnance sur le registre foncier (ORF; RS 211.432.1), et non pas d'une annotation selon les art. 959 ss CC et 70 ss ORF (cf. Message concernant l'encouragement à la propriété du logement au moyen de la prévoyance professionnelle, FF 1992 VI 242 ch. 133.3; P.-H. Steinauer, Les droits réels, t. I, 3e éd. 1997, § 19 ch. 835). L'effet d'une mention au registre foncier n'est en principe ni constitutif ni déclaratif; il consiste uniquement à informer sur l'existence du rapport juridique concerné; en conséquence, l'existence et le contenu de celui-ci sont indépendants de la mention (H. DESCHENAUX, Le registre foncier, Traité de droit privé suisse, vol. V, t. II,2, p. 586 s.; STEINAUER, op.cit., § 19 ch. 839 s.). b) En vertu de l' art. 30e al. 2 LPP , l'institution de prévoyance est tenue de requérir la mention de la restriction du droit d'aliéner au registre foncier lors du versement anticipé de l'avoir de prévoyance. La mention ayant été requise en l'espèce le 17 avril 1997 et le versement effectué le 1er août suivant, on ne saurait faire grief à l'autorité cantonale d'avoir retenu qu'au moment de la première saisie (février 1997), seule en cause dans la plainte du recourant, un motif d'insaisissabilité fondé sur la LPP n'existait pas. C'est néanmoins à tort que la Cour cantonale, après avoir constaté que la Fondation collective LPP X. avait requis la mention au registre BGE 124 III 211 S. 214 foncier le 17 avril 1997 et effectué le versement anticipé le 1er août 1997, retient que le débiteur n'était pas en droit le 7 octobre 1997, lors de la notification du procès-verbal de saisie, de se prévaloir du financement partiel de son immeuble par des fonds issus de son institution de prévoyance. La restriction du droit d'aliéner en cause était certes postérieure à l'exécution de la première saisie; mais, comme elle découlait d'une disposition impérative du droit public fédéral (STEINAUER, op.cit., § 19 ch. 835), les autorités cantonales de surveillance se devaient - indépendamment même de la mention au registre foncier - d'examiner son incidence éventuelle sur la procédure de réalisation pendante et d'en tenir compte le cas échéant, étant donné leur pouvoir d'intervenir d'office et tout temps en pareille hypothèse ( art. 22 al. 1 LP ; ATF 117 III 39 consid. 4b p. 42; GILLIÉRON, Poursuite pour dettes, faillite et concordat, 3e éd., Lausanne 1993, p. 61). c) Au demeurant, la notification du procès-verbal de saisie faisant courir le délai de plainte (GILLIÉRON, op.cit., p. 194; JAEGER/WALDER/KULL/KOTTMANN, SchKG, 4e éd. 1997, art. 114 n. 3), le recourant ne saurait se voir reprocher d'avoir attendu cette notification pour faire valoir tous ses arguments à l'encontre de la saisie. Il ne s'ensuit pas, cependant, que l'arrêt attaqué doive être annulé. En effet, la Cour cantonale est de toute façon entrée en matière sur les arguments du recourant et, comme on le verra ci-après, c'est à juste titre qu'elle les a rejetés.</w:t>
      </w:r>
    </w:p>
    <w:p>
      <w:r>
        <w:rPr>
          <w:b/>
        </w:rPr>
        <w:t>E. 2</w:t>
      </w:r>
    </w:p>
    <w:p>
      <w:r>
        <w:t>Le recourant se prévaut de l'insaisissabilité de son immeuble, dans la mesure où il a été acquis au moyen d'avoirs LPP. A ses yeux, l'arrêt attaqué consacre une violation de l' art. 92 al. 1 ch. 10 LP , qui déclare insaisissables "les droits aux prestations de prévoyance et de libre passage non encore exigibles à l'égard d'une institution de prévoyance professionnelle". La faculté conférée à un assuré LPP par l' art. 30c LPP d'obtenir de son institution de prévoyance le versement anticipé d'un montant lui permettant d'acquérir son propre logement est une exception au principe selon lequel les prestations fondées sur la LPP ne doivent être ni cédées ni mises en gage avant leur exigibilité ( art. 331b CO ; ATF 121 III 285 consid. 1b p. 287/288; Message déjà cité, FF 1992 VI 233 ch. 111.22). Lorsque l'assuré fait valoir son droit au versement anticipé, la propriété du logement acquise par ce biais représente un élément de la prestation de prévoyance ou de libre passage et remplace la part soustraite de la prestation en espèces, de sorte que la prestation servie ultérieurement, lors de la survenance d'un BGE 124 III 211 S. 215 cas de prévoyance ou de libre passage, est réduite en conséquence (Message déjà cité, FF 1992 VI 240 ch. 133.2). Contrairement à ce que soutient le recourant, la restriction du droit d'aliéner à mentionner au registre foncier et l'obligation de rembourser en cas de vente ne signifient pas que le versement anticipé garde sa "qualification de prévoyance professionnelle". Ces mesures n'ont pas d'autre justification que de garantir de manière simple qu'un assuré ne retire pas du cercle de la prévoyance le capital anticipé qu'il a reçu pour l'utiliser à des fins de consommation (Message déjà cité, FF 1992 VI 241 ch. 133.3). Dès lors, en revanche, que sont réalisées, comme en l'espèce, les conditions du versement d'une prestation de libre passage, celle-ci devient saisissable ( ATF 120 III 75 ). Avec l'autorité cantonale, il y a donc lieu d'admettre que le bien immobilier acquis au moyen du versement anticipé peut être saisi et que l' art. 92 al. 1 ch. 10 LP n'est, partant, pas applicable. En décider autrement reviendrait à créer une inégalité de traitement entre les débiteurs ayant acquis la propriété de leur logement au moyen de leurs fonds propres ou d'emprunts bancaires et ceux qui, à cette même fin, se sont servis de leurs avoirs de prévoyance: le bien immobilier en question serait saisissable dans le premier cas, mais pas dans le second, ce qui créerait du même coup une discrimination injustifiable entre les créanciers. Il suit de là que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