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88</w:t>
      </w:r>
    </w:p>
    <w:p>
      <w:r>
        <w:t>Bundesgericht (BGE), 1997-01-01, DE</w:t>
      </w:r>
    </w:p>
    <w:p>
      <w:r>
        <w:rPr>
          <w:b/>
        </w:rPr>
        <w:t xml:space="preserve">Quelle: </w:t>
      </w:r>
      <w:r>
        <w:t>https://mcp.opencaselaw.ch/entscheid/bge_BGE_123_V_88</w:t>
      </w:r>
    </w:p>
    <w:p>
      <w:r>
        <w:t>FR: ATF 123 V 88</w:t>
      </w:r>
    </w:p>
    <w:p>
      <w:r>
        <w:t>IT: DTF 123 V 88</w:t>
      </w:r>
    </w:p>
    <w:p>
      <w:pPr>
        <w:pStyle w:val="Heading2"/>
      </w:pPr>
      <w:r>
        <w:t>Regeste</w:t>
      </w:r>
    </w:p>
    <w:p>
      <w:r>
        <w:t>Regeste Art. 34 Abs. 2 BVG, Art. 24 Abs. 2 BVV 2 - Bei der Überentschädigungsberechnung in der beruflichen Vorsorge sind nur effektiv erzielte, nicht auch zumutbarerweise erzielbare Erwerbseinkommen Teilinvalider anzurechnen. - Die Überentschädigungsberechnung hat in der Weise zu erfolgen, dass von dem bei völliger Erwerbsunfähigkeit mutmasslich entgangenen Verdienst ausgegangen wird und hierauf die bei teilweiser Arbeits- und Erwerbsfähigkeit noch erzielten Erwerbseinkommen in Abzug gebracht werden.</w:t>
      </w:r>
    </w:p>
    <w:p>
      <w:r>
        <w:t>Regeste Art. 34 al. 2 LPP, art. 24 al. 2 OPP 2 - Seuls les revenus effectifs, à l'exclusion des revenus qu'un assuré partiellement invalide pourrait raisonnablement obtenir en mettant en valeur sa capacité résiduelle de gain, sont pris en considération dans le calcul de la surindemnisation en matière de prévoyance professionnelle. - Pour calculer la surindemnisation, il y a lieu de se fonder sur le revenu dont on peut présumer que l'intéressé est privé en cas d'incapacité totale de gain, et de déduire les revenus effectivement réalisés en cas de capacité partielle de travail et de gain.</w:t>
      </w:r>
    </w:p>
    <w:p>
      <w:r>
        <w:t>Regesto Art. 34 cpv. 2 LPP, art. 24 cpv. 2 OPP 2 - Solo il reddito conseguito effettivamente dall'assicurato parzialmente invalido, e non già quello ipoteticamente realizzabile nell'esercizio di un'attività ragionevolmente esigibile, è ritenuto ai fini del calcolo del sovraindennizzo nell'ambito della previdenza professionale. - Per calcolare il sovraindennizzo ci si deve basare sul guadagno presumibilmente perso dall'assicurato in caso di incapacità totale al guadagno, deducendo dallo stesso i redditi che egli ha effettivamente conseguito sfruttando la sua parziale capacità di lavoro e di guadagno.</w:t>
      </w:r>
    </w:p>
    <w:p>
      <w:pPr>
        <w:pStyle w:val="Heading2"/>
      </w:pPr>
      <w:r>
        <w:t>Erwägungen</w:t>
      </w:r>
    </w:p>
    <w:p>
      <w:r>
        <w:rPr>
          <w:b/>
        </w:rPr>
        <w:t>E. 1</w:t>
      </w:r>
    </w:p>
    <w:p>
      <w:r>
        <w:t>Im vorliegenden Fall ist unbestritten, dass die Beschwerdegegnerin nach Art. 23 ff. BVG und Art. 9 des Reglementes der BAV Wirte in der ab 1. Januar 1985 gültigen und auf den 1. Januar 1989 geänderten Fassung Anspruch auf eine Invalidenleistung hat. Unbestritten ist nunmehr auch, dass der Rentenbeginn auf den 1. Februar 1991 festzusetzen ist. Die Parteien stimmen schliesslich darin überein, dass sich die Rente bei einem Ansatz von 40% des versicherten Lohnes von Fr. 22'800.-- und einem Invaliditätsgrad von 50% auf Fr. 380.-- im Monat beläuft. Streitig und im folgenden zu prüfen ist, inwieweit die Leistung zufolge Überentschädigung entfällt.</w:t>
      </w:r>
    </w:p>
    <w:p>
      <w:r>
        <w:rPr>
          <w:b/>
        </w:rPr>
        <w:t>E. 2</w:t>
      </w:r>
    </w:p>
    <w:p>
      <w:r>
        <w:t>a) Nach Art. 34 Abs. 2 BVG erlässt der Bundesrat Vorschriften zur Verhinderung ungerechtfertigter Vorteile des Versicherten oder seiner Hinterlassenen beim Zusammentreffen mehrerer Leistungen. Die Bestimmung hält des weitern u.a. fest, dass beim Zusammentreffen von Leistungen nach diesem Gesetz mit solchen nach dem Bundesgesetz vom 20. März 1981 über die BGE 123 V 88 S. 91 Unfallversicherung oder nach dem Bundesgesetz über die Militärversicherung vom 19. Juni 1992 grundsätzlich die Leistungen der Unfallversicherung oder der Militärversicherung vorgehen. Unter dem Titel "Ungerechtfertigte Vorteile" hat der Bundesrat in Art. 24 BVV 2 nähere Vorschriften zur Überentschädigung in der beruflichen Vorsorge erlassen. Nach Abs. 1 der Bestimmung kann die Vorsorgeeinrichtung die Hinterlassenen- und Invalidenleistungen kürzen, soweit sie zusammen mit anderen anrechenbaren Einkünften 90% des mutmasslich entgangenen Verdienstes übersteigen. Als anrechenbare Einkünfte gelten gemäss Abs. 2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b) Das Reglement der am Recht stehenden Vorsorgeeinrichtung enthält in Art. 12 Bestimmungen über das "Verhältnis zu anderen Versicherungen". Nach Abs. 1 dieser Vorschrift gehen die Leistungen der AHV/IV, der Unfallversicherung und der Militärversicherung vor. Gemäss Abs. 2 entfällt ein Anspruch aus der Basisversicherung der Vorsorgeeinrichtung, wenn die Leistungen der Unfallversicherung oder der Krankentaggeldversicherung 80% des entgangenen Verdienstes erreichen. Abs. 3 bestimmt, dass die Vorsorgeeinrichtung ihre Leistungen herabsetzt, soweit die Leistungen aus der Basisversicherung zusammen mit Leistungen von anderer Seite 90% des entgangenen Verdienstes übersteigen. Abs. 2 der Reglementsbestimmung stützt sich auf die Art. 25 Abs. 1 und 24 Abs. 2 BVV 2 in der bis Ende 1992 gültig gewesenen Fassung der Verordnung und kann unter der Herrschaft des am 1. Januar 1993 in Kraft getretenen Rechts (Verordnungsänderung vom 28. Oktober 1992, AS 1992 2234) nicht mehr Anwendung finden. Im übrigen stimmen die reglementarischen Vorschriften mit der Verordnungsregelung überein. Zu prüfen ist daher nur, ob die Vorsorgeeinrichtung die Invalidenleistung aufgrund der am 1. Januar 1993 in Kraft getretenen koordinationsrechtlichen Bestimmungen der BVV 2 zu Recht auf Fr. 79.-- festgesetzt hat. BGE 123 V 88 S. 92</w:t>
      </w:r>
    </w:p>
    <w:p>
      <w:r>
        <w:rPr>
          <w:b/>
        </w:rPr>
        <w:t>E. 3</w:t>
      </w:r>
    </w:p>
    <w:p>
      <w:r>
        <w:t>Streitig ist zunächst der mutmasslich entgangene Verdienst, welcher der Ermittlung der Überentschädigung zugrundezulegen ist. a) Die beschwerdeführende Vorsorgeeinrichtung ist bei der Überentschädigungsberechnung von der Hälfte von 90% des Bruttolohnes bei Eintritt der Arbeitsunfähigkeit ausgegangen. Sie begründet dies damit, dass im Falle der Teilinvalidität eine Aufteilung der beruflichen Vorsorge in einen invaliden und einen validen Teil vorzunehmen sei. Für den invaliden Teil gehöre die Beschwerdegegnerin weiterhin zum Versichertenbestand der Vorsorgeeinrichtung; dagegen sei die Vorsorgeeinrichtung für den validen Teil nicht mehr zuständig, weshalb dieser Teil nicht in den massgebenden Verdienst einbezogen werden dürfe. Die Vorsorgeeinrichtung habe lediglich den Ausfall im Rahmen des entgangenen Verdienstes zu ersetzen. Es gehe daher nicht an, die Überentschädigungsberechnung auf dem vollen Verdienst vorzunehmen, da der BVG-Versicherer diesfalls auch Ausfälle für den aktiven Teil zu übernehmen hätte, wenn die versicherte Person ihre Restarbeitsfähigkeit nicht oder nicht genügend verwerte. Die Vorsorgeeinrichtung beruft sich sinngemäss auf Art. 15 BVV 2 , wonach das Altersguthaben in zwei gleiche Teile aufzuteilen ist, wenn dem Versicherten eine halbe Invalidenrente zugesprochen wird. Die eine Hälfte wird als Alterskonto invalider Versicherter nach Art. 14 BVV 2 behandelt, während die andere Hälfte dem Altersguthaben eines voll erwerbstätigen Versicherten gleichgestellt und bei Beendigung des Arbeitsverhältnisses nach den Art. 29 und 30 BVG (nunmehr Art. 3-5 FZG ; Änderung der BVV 2 vom 9. Dezember 1996, AS 1996 3452) behandelt wird. Gegenstand dieser Regelung bilden das Altersguthaben und die Austrittsleistung im Falle der Teilinvalidität. Es lässt sich hieraus allenfalls schliessen, dass dem Teilinvaliden nur dasjenige Erwerbseinkommen ersetzt werden soll, das zufolge der Teilinvalidität entfällt. Es kann daraus jedoch nicht abgeleitet werden, dass im Rahmen der Überentschädigungsberechnung nur von der Hälfte des Valideneinkommens auszugehen ist. Die gegenteilige Auffassung der Vorsorgeeinrichtung widerspricht der gesetzlichen Regelung, welche zwischen der Festsetzung des berufsvorsorgerechtlichen Leistungsanspruchs als solchem und der Frage der Überentschädigung sowie der Leistungskoordination mit anderen Versicherungen unterscheidet. Sie hätte zur Folge, dass Art. 24 Abs. 2 letzter Satz BVV 2 überflüssig wäre, weil kein Raum für die Anrechnung eines (effektiven oder hypothetischen) Einkommens mehr bliebe. Dies kann aber nicht Sinn der gesetzlichen Ordnung sein. BGE 123 V 88 S. 93 Die Überentschädigungsberechnung hat demnach in der Weise zu erfolgen, dass von dem bei völliger Erwerbsunfähigkeit mutmasslich entgangenen Verdienst ausgegangen wird und hierauf die bei teilweiser Arbeits- und Erwerbsfähigkeit noch erzielten (bzw. noch erzielbaren; vgl. dazu Erw. 4 hienach) Erwerbseinkommen in Abzug gebracht werden. Dem entspricht sowohl die Regelung der Überentschädigungsberechnung in der obligatorischen Unfallversicherung ( Art. 40 UVG und Art. 51 Abs. 3 UVV ; BGE 117 V 400 ; MAURER, Unfallversicherungsrecht, Bern 1985, S. 538 Fn. 1398a) als auch diejenige in der Militärversicherung (Art. 72 Abs. 2 in Verbindung mit Art. 77 MVG und Art. 32 Abs. 1 lit. c MVV ; SCHLAURI, Beiträge zum Koordinationsrecht der Sozialversicherungen, St. Gallen 1995, S. 86). b) Der Beschwerdeführerin kann auch insoweit nicht gefolgt werden, als sie daran festhält, dass der mutmasslich entgangene Verdienst dem AHV-Lohn im Zeitpunkt des versicherten Ereignisses entspricht. Massgebend ist nach der gesetzlichen Regelung nicht der vor Eintritt der Arbeits- bzw. Erwerbsfähigkeit effektiv erzielte Verdienst, sondern das hypothetische Einkommen, welches der Versicherte erzielen würde, wenn er nicht invalid geworden wäre ( BGE 122 V 154 Erw. 3c mit Hinweisen). Entscheidend ist das Einkommen, welches der Versicherte ohne die Invalidität im Zeitpunkt erzielen könnte, da sich die Kürzungsfrage stellt (nicht veröffentlichtes Urteil M. vom 28. Mai 1996). Im vorliegenden Fall hat die Vorinstanz den mutmasslich entgangenen Verdienst in Anlehnung an das von der IV angenommene Valideneinkommen auf Fr. 45'500.-- (13 x Fr. 3'500.--) festgesetzt. Die Beschwerdeführerin hält dem entgegen, im angegebenen Monatslohn von Fr. 3'500.-- sei der 13. Monatslohn bereits enthalten, so dass der entgangene Verdienst einem Jahreslohn von Fr. 42'000.-- (12 x Fr. 3'500.--) entspreche. Sie beruft sich auf die Angaben der Arbeitgeberin im Fragebogen zuhanden der IV vom 11. April 1991, welchem sich diesbezüglich jedoch nichts Konkretes entnehmen lässt. Wie es sich hinsichtlich des streitigen 13. Monatslohnes verhält, kann indessen offenbleiben. Weil der mutmasslich entgangene Verdienst mit dem berufsvorsorgerechtlich versicherten Verdienst nicht identisch ist und bei der Überentschädigungsberechnung auf das hypothetische Einkommen ohne Invalidität im Zeitpunkt, da sich die Kürzungsfrage stellt, abzustellen ist, besteht diesbezüglich ein gewisser Ermessensspielraum. Dieses Ermessen hat die Vorinstanz in nicht zu beanstandender Weise ausgeübt, wenn sie den BGE 123 V 88 S. 94 mutmasslich entgangenen Jahresverdienst auf Fr. 45'500.-- festgesetzt hat, zumal dieser Wert auch dem von der IV-Stelle im Rahmen der Invaliditätsbemessung ermittelten Valideneinkommen entspricht. Anderseits besteht kein Anlass, den mutmasslich entgangenen Verdienst für die Folgezeit höher anzusetzen, wie es die Beschwerdegegnerin verlangt. Denn es besteht kein hinreichender Grund zur Annahme, dass sich die Verhältnisse bezüglich des mutmasslich entgangenen Verdienstes in der Zeit vom 1. Februar 1991 bis 31. Oktober 1994 im Sinne von Art. 24 Abs. 5 BVV 2 wesentlich geändert hätten (vgl. BGE 122 V 154 Erw. 3c). Im übrigen weist die Vorinstanz zu Recht darauf hin, dass die Renten nach Massgabe der gesetzlichen und reglementarischen Bestimmungen der Teuerung angepasst werden ( Art. 36 BVG ; Verordnung über die Anpassung der laufenden Hinterlassenen- und Invalidenrenten an die Preisentwicklung vom 16. September 1987, SR 831.426.3).</w:t>
      </w:r>
    </w:p>
    <w:p>
      <w:r>
        <w:rPr>
          <w:b/>
        </w:rPr>
        <w:t>E. 4</w:t>
      </w:r>
    </w:p>
    <w:p>
      <w:r>
        <w:t>Zu prüfen ist des weitern, ob bei Teilinvalidität im Rahmen der Überentschädigungsberechnung lediglich effektiv erzielte oder - wie die Beschwerdeführerin geltend macht - auch zumutbarerweise erzielbare Erwerbseinkommen anzurechnen sind. a) Gemäss Art. 24 Abs. 2 letzter Satz BVV 2 wird bei Bezügern von Invalidenleistungen "das weiterhin erzielte Erwerbseinkommen angerechnet". Nach dem klaren Wortlaut der Bestimmung sind nur effektiv erzielte, nicht jedoch auch zumutbarerweise erzielbare Erwerbseinkommen anzurechnen. Dies im Gegensatz zur Regelung in der Militärversicherung, wo nach Art. 32 Abs. 1 lit. c MVV Erwerbseinkünfte anrechenbar sind, die der teilweise erwerbsfähige Bezüger einer Rente der Militärversicherung und der Invalidenversicherung oder der Unfallversicherung "erzielt oder zumutbarerweise noch erzielen könnte". Aus den Materialien ergeben sich keine Anhaltspunkte dafür, dass der Wortlaut von Art. 24 Abs. 2 letzter Satz BVV 2 nicht dem Willen des Verordnungsgebers entspricht. In den Erläuterungen zum gleichlautenden Art. 19 Abs. 2 des Verordnungsentwurfs vom 2. August 1983 (S. 38) führt das BSV aus: "Ist der Invalide erwerbstätig, so wird ihm sein Erwerbseinkommen angerechnet.". Es wird damit klarerweise davon ausgegangen, dass nur effektiv erzielte, nicht aber zumutbarerweise erzielbare Erwerbseinkommen anzurechnen sind, worauf der Bundesrat auch im Rahmen der Verordnungsänderung vom 28. Oktober 1992 nicht zurückgekommen ist. Dass die geltende Regelung gesetzwidrig ist, wird von der Beschwerdeführerin zu BGE 123 V 88 S. 95 Recht nicht geltend gemacht. Fraglich und im folgenden zu prüfen ist lediglich, ob sich die Anrechenbarkeit zumutbarerweise erzielbarer Erwerbseinkommen aus allgemeinen Rechtsgrundsätzen ergibt. b) Unter Berufung auf ein generelles Überentschädigungsverbot wird in der Literatur die Auffassung vertreten, dass im Rahmen von Art. 24 Abs. 2 BVV 2 auch ein zumutbarerweise erzielbares, im konkreten Fall aber nicht realisiertes Resterwerbseinkommen zu berücksichtigen ist (so MOSER, Die Zweite Säule und ihre Tragfähigkeit, Basel 1993, S. 256; SCHLAURI, a.a.O., S. 65 ff.; PETER, Die Koordination von Invalidenrenten, Diss. Freiburg 1996, S. 348 ff.). Ein allgemeines Überentschädigungsverbot in dem Sinne, dass die Versicherungsleistungen insgesamt den eingetretenen Schaden nicht übersteigen dürfen, besteht nach der Rechtsprechung jedoch nicht. Der Ausschluss von Überentschädigungen sowie anderer als ungerechtfertigt erachteter Leistungskumulationen bedarf vielmehr einer entsprechenden gesetzlichen Grundlage ( BGE 113 V 148 Erw. 7c mit Hinweisen). Eine solche Grundlage besteht in der beruflichen Vorsorge lediglich insofern, als der Bundesrat nach Art. 34 Abs. 2 BVG Vorschriften zu erlassen hat "zur Verhinderung ungerechtfertigter Vorteile des Versicherten oder seiner Hinterlassenen beim Zusammentreffen mehrerer Leistungen". Das Gesetz hat es damit dem Verordnungsgeber überlassen, näher zu konkretisieren, was im Rahmen der beruflichen Vorsorge als ungerechtfertigter Vorteil zu betrachten ist, welchem Auftrag der Bundesrat mit dem Erlass von Art. 24 BVV 2 nachgekommen ist. Nach dieser Bestimmung sind aber nur effektiv erzielte, nicht dagegen zumutbarerweise erzielbare Erwerbseinkommen anrechenbar. Von einem allgemeinen Rechtsgrundsatz kann auch insofern nicht gesprochen werden, als es an einem einheitlichen Überentschädigungsbegriff fehlt und die einzelnen Sozialversicherungszweige unterschiedliche Kürzungsgrenzen und Anrechnungsvorschriften kennen (vgl. hiezu SCHLAURI, a.a.O., S. 62 ff.). Unterschiedliche Regelungen bestehen auch hinsichtlich der Bedeutung einer Resterwerbsfähigkeit bei Teilinvaliden. Während in der Militärversicherung zumutbarerweise erzielbare Erwerbseinkommen Teilinvalider angerechnet werden ( Art. 32 Abs. 1 lit. c MVV ), ist dies in der obligatorischen Unfallversicherung nach Rechtsprechung und Verwaltungspraxis nicht der Fall ( BGE 117 V 394 ff.; Empfehlung Nr. 3/92 der ad hoc-Kommission Schaden UVG vom 25. Juni 1992/29. Juni 1994). Der Entwurf vom 27. September 1990 zu einem Bundesgesetz über den Allgemeinen BGE 123 V 88 S. 96 Teil des Sozialversicherungsrechts (ATSG) sieht diesbezüglich keine Regelung vor, sondern delegiert die Frage an den Verordnungsgeber (Art. 76 E-ATSG). Auch unter dem Gesichtspunkt einer harmonisierenden Auslegung des Sozialversicherungsrechts besteht daher kein Anlass, über den klaren Wortlaut von Art. 24 Abs. 2 letzter Satz BVV 2 hinaus nicht nur effektiv erzielte, sondern auch zumutbarerweise erzielbare Erwerbseinkommen anzurechnen. Dies um so weniger, als anlässlich der auf den 1. Januar 1993 in Kraft getretenen Verordnungsänderung vom 28. Oktober 1992 von einer diesbezüglichen Ergänzung der Bestimmung abgesehen wurde, wogegen in der Militärversicherung mit der auf den gleichen Zeitpunkt in Kraft getretenen Verordnungsänderung gleichen Datums (AS 1992 2100) eine entsprechende Erweiterung eingeführt wurde (Art. 9a Abs. 2 lit. c alt MVV). c) Mehrere Autoren begründen die Anrechenbarkeit eines zumutbarerweise erzielbaren Einkommens des weitern mit der Schadenminderungspflicht des Versicherten (PETER, a.a.O., S. 348; SCHLAURI, a.a.O., S.67; ferner SCHAER, Grundzüge des Zusammenwirkens von Schadenausgleichssystemen, Basel 1984, S. 266 Rz. 782). Mit Bezug auf die obligatorische Unfallversicherung und die altrechtliche Krankenversicherung hat das Eidg. Versicherungsgericht hiezu festgestellt, dass die Schadenminderungspflicht als allgemeiner Grundsatz des Sozialversicherungsrechts bei der Leistungsfestsetzung regelmässig und zwingend zu berücksichtigen ist, nicht aber zusätzlich bei der Ermittlung der Überentschädigung, weil dies in den meisten Fällen auf eine ungerechtfertigte doppelte Berücksichtigung des aus einer verbleibenden Arbeits- oder Erwerbsfähigkeit erzielbaren Einkommens hinausliefe. Zudem käme damit ein sachfremdes und weitgehend unbestimmbares Element in die Überversicherungsberechnung, welche einen rein rechnerischen Vorgang darstellt ( BGE 117 V 394 ff.; RKUV 1994 Nr. K 953 S. 303 ff.). Diese Erwägungen gelten in gleicher Weise für den Bereich der beruflichen Vorsorge. Zwar kann es dem Grundsatz der Schadenminderungspflicht zuwiderlaufen, wenn die Folgen einer Verletzung dieser Pflicht über eine Mehrzahl von Versicherern mehr oder weniger beseitigt werden (vgl. zur Leistungskürzung wegen Selbstverschuldens: BGE 122 V 306 ff.). Es gilt jedoch zu berücksichtigen, dass auch die Schadenminderungspflicht keinen einheitlichen Begriffsinhalt aufweist und ihr je nach Rechtsgebiet eine BGE 123 V 88 S. 97 unterschiedliche Tragweite zukommt (vgl. zur IV: LOCHER, Die Schadenminderungspflicht im IVG vom 19. Juni 1959, in: Festschrift 75 Jahre EVG, Bern 1992, S. 407 ff.; MEYER-BLASER, Zum Verhältnismässigkeitsgrundsatz im staatlichen Leistungsrecht, Diss. Bern 1985, S. 131 ff.). Bei der Konkretisierung der Schadenminderungspflicht steht dem Gesetz- und Verordnungsgeber deshalb ein weiter Ermessensspielraum zu. Gegen dieses Ermessen verstösst es nicht, wenn - wie in der beruflichen Vorsorge gemäss BVG - der Schadenminderungspflicht eine unterschiedliche Bedeutung beigemessen wird, je nachdem ob es um den Leistungsanspruch als solchen oder um die Frage der Überentschädigung beim Zusammentreffen mit Leistungen anderer Versicherer geht. Es besteht daher auch unter dem Gesichtspunkt der Schadenminderungspflicht kein Anlass, vom klaren Wortlaut von Art. 24 Abs. 2 letzter Satz BVV 2 abzugehen und nicht realisierte, zumutbarerweise aber erzielbare Erwerbseinkommen in die Überentschädigungsberechnung einzubeziehen.</w:t>
      </w:r>
    </w:p>
    <w:p>
      <w:r>
        <w:rPr>
          <w:b/>
        </w:rPr>
        <w:t>E. 5</w:t>
      </w:r>
    </w:p>
    <w:p>
      <w:r>
        <w:t>Nach dem Gesagten erweist sich die Verwaltungsgerichtsbeschwerde als unbegründet. Gemäss der im übrigen unbestrittenen Berechnung der Vorinstanz hat die Vorsorgeeinrichtung der Beschwerdegegnerin ab 1. Februar 1991 eine Invalidenrente von monatlich Fr. 380.-- auszurichten, unter Vorbehalt der gesetzlichen und reglementarischen Rentenerhöhungen für die Folgezeit, wobei der Anspruch für das Jahr 1991 zufolge Überversicherung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