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35</w:t>
      </w:r>
    </w:p>
    <w:p>
      <w:r>
        <w:t>Bundesgericht (BGE), 1997-01-01, FR</w:t>
      </w:r>
    </w:p>
    <w:p>
      <w:r>
        <w:rPr>
          <w:b/>
        </w:rPr>
        <w:t xml:space="preserve">Quelle: </w:t>
      </w:r>
      <w:r>
        <w:t>https://mcp.opencaselaw.ch/entscheid/bge_BGE_123_V_35</w:t>
      </w:r>
    </w:p>
    <w:p>
      <w:r>
        <w:t>FR: ATF 123 V 35</w:t>
      </w:r>
    </w:p>
    <w:p>
      <w:r>
        <w:t>IT: DTF 123 V 35</w:t>
      </w:r>
    </w:p>
    <w:p>
      <w:pPr>
        <w:pStyle w:val="Heading2"/>
      </w:pPr>
      <w:r>
        <w:t>Regeste</w:t>
      </w:r>
    </w:p>
    <w:p>
      <w:r>
        <w:t>Regeste Art. 3 Abs. 1 lit. f ELG: Ertrag aus Verzichtsvermögen. Mit einem Vermögen, auf das verzichtet worden ist (in casu durch die Gewährung eines Erbvorbezugs), hätte ein Ertrag erzielt werden können, der im Rahmen der Festsetzung des anrechenbaren Einkommens Berücksichtigung finden muss; daran ändert nichts, dass es sich um Vermögenswerte handelt, die wenig oder gar keinen Ertrag abwerfen, denn der Versicherte hätte diese auch zum Verkehrswert veräussern und mit dem Verkaufserlös einen Ertrag erwirtschaften können.</w:t>
      </w:r>
    </w:p>
    <w:p>
      <w:r>
        <w:t>Regeste Art. 3 al. 1 let. f LPC: rendement de la fortune dessaisie. La fortune dont un assuré s'est dessaisi (in casu : avancement d'hoirie) est censée produire un revenu qui doit aussi être porté en compte lors du calcul du revenu déterminant. Peu importe qu'il s'agisse de biens ayant peu ou pas de rendement, car les donateurs auraient tout aussi bien pu les aliéner à leur valeur vénale et obtenir ainsi un rendement du produit de la vente.</w:t>
      </w:r>
    </w:p>
    <w:p>
      <w:r>
        <w:t>Regesto Art. 3 cpv. 1 lett. f LPC: reddito della sostanza cui si è rinunciato. La sostanza cui l'assicurato ha rinunciato (in casu: concessione d'un anticipo ereditario) è reputata produttiva di un reddito, il quale deve pure essere computato nel calcolo del reddito determinante. È irrilevante che si tratti di beni di rendimento scarso o nullo, poiché i donatori avrebbero anche potuto alienarli al loro valore venale e ottenere in tal modo un reddito dal prodotto della vendita.</w:t>
      </w:r>
    </w:p>
    <w:p>
      <w:pPr>
        <w:pStyle w:val="Heading2"/>
      </w:pPr>
      <w:r>
        <w:t>Erwägungen</w:t>
      </w:r>
    </w:p>
    <w:p>
      <w:r>
        <w:rPr>
          <w:b/>
        </w:rPr>
        <w:t>E. 1</w:t>
      </w:r>
    </w:p>
    <w:p>
      <w:r>
        <w:t>Selon l' art. 3 al. 1 let . f LPC, le revenu déterminant comprend les ressources et parts de fortune dont un ayant droit s'est dessaisi. Pour les bénéficiaires de rentes de vieillesse, un dixième du montant de cette fortune est pris en compte lors du calcul du revenu déterminant, après déduction d'une franchise qui s'élève, pour les couples, à 40'000 francs ( art. 3 al. 1 let. b LPC ). On parle de dessaisissement au sens de l' art. 3 al. 1 let . f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En l'espèce, l'avancement d'hoirie consenti par les intimés en faveur de leurs enfants constitue indéniablement une cession à titre gratuit qui tombe sous le coup de cette disposition. Conformément à l' art. 17 al. 4 OPC-AVS/AI , la fortune immobilière doit être prise en compte à la valeur vénale lorsque l'immeuble ne sert pas d'habitation au requérant ou à une personne comprise dans le calcul de la prestation complémentaire. Dans le cas particulier, la valeur vénale des immeubles en question a été fixée par la Commission communale de taxation à 260'323 francs. C'est ce montant qui a été retenu comme valeur de la fortune dessaisie et porté en compte (après déduction du montant de 40'000 francs) à raison d'un dixième dans le calcul du revenu déterminant. Les premiers juges, avec raison, n'ont pas remis en cause ce point de la décision de la caisse, qui n'était au demeurant pas contesté par l'assuré.</w:t>
      </w:r>
    </w:p>
    <w:p>
      <w:r>
        <w:rPr>
          <w:b/>
        </w:rPr>
        <w:t>E. 2</w:t>
      </w:r>
    </w:p>
    <w:p>
      <w:r>
        <w:t>Est litigieuse, en revanche, la prise en considération, dans le calcul du revenu déterminant, d'un rendement hypothétique de la fortune dessaisie. a) La part de fortune dont un assuré s'est dessaisi est censée produire un revenu qui doit aussi être porté en compte lors du calcul du revenu déterminant. Selon la jurisprudence, ce rendement hypothétique équivaut au taux d'intérêt moyen sur les dépôts d'épargne servi par l'ensemble des banques au cours de l'année précédant celle de l'octroi de la prestation complémentaire. Pour déterminer ce taux, l'on se fonde sur les données figurant dans l'Annuaire statistique de la Suisse, qui prend pour base le taux appliqué dans chaque banque ( ATF 120 V 186 consid. 4e; VSI 1994 p. 163 BGE 123 V 35 S. 38 consid. 4b; SPIRA, Transmission de patrimoine et dessaisissement au sens de la loi fédérale sur les prestations complémentaires à l'AVS/AI [LPC], RSAS 1996 p. 218). Contrairement à l'opinion des premiers juges, ces principes sont applicables en l'espèce. Le fait que les intimés n'auraient pas vendu leurs biens immobiliers, s'ils ne les avaient pas donnés à leurs enfants, n'est pas décisif. De même, il n'est pas déterminant que les immeubles en cause (notamment les parcelles de terrain) ne procurent que peu ou pas de rendement. Il importe bien plutôt de considérer que les intimés ont cédé gratuitement leurs biens, sans y être juridiquement tenus, alors qu'ils auraient tout aussi bien pu les aliéner à leur valeur vénale et retirer un certain rendement du produit de la vente. De ce point de vue, il n'y a pas de raison de traiter différemment l'avancement d'hoirie de la libéralité à un tiers non héritier (cf. également à propos d'un cas semblable, RCC 1988 p. 216 consid. 6). Il est certes compréhensible que des parents veuillent transmettre gratuitement leur patrimoine à leurs descendants. Mais un transfert de ce genre, s'il répond à un souci légitime, ne saurait avoir pour conséquence d'obliger la collectivité publique à accorder des prestations complémentaires qu'elle ne devrait point allouer en cas d'aliénation à titre onéreux (cf. dans ce sens: MICHEL MOOSER/AMÉDÉO WERMELINGER, Quelques aspects liés au dessaisissement volontaire d'éléments de fortune par des personnes âgées, Revue fribourgeoise de jurisprudence 1993 p. 19). On ne saurait donc suivre la juridiction cantonale dans la mesure où elle prescrit à la caisse de tenir compte du rendement effectif - et éventuel - des biens cédés. b) Cela ne conduit pas pour autant au rétablissement de la décision administrative du 5 avril 1995. S'agissant du taux d'intérêt à prendre en considération, l'OFAS soutient à juste titre que le taux de 3,5 pour cent retenu par cette décision est trop bas. En effet, selon l'Annuaire statistique de la Suisse pour 1996, le taux moyen des dépôts d'épargne s'élevait en 1994, à 3,7 pour cent (p. 270 ad T 12.5). c) En conséquence, le jugement entrepris sera confirmé dans la mesure où il renvoie la cause à la caisse de compensation pour nouvelle décision. Mais il doit être réformé dans le sens des considérants du présent arrêt, auxquels la caisse se conformera.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