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123 V 335</w:t>
      </w:r>
    </w:p>
    <w:p>
      <w:r>
        <w:t>Bundesgericht (BGE), 1997-01-01, DE</w:t>
      </w:r>
    </w:p>
    <w:p>
      <w:r>
        <w:rPr>
          <w:b/>
        </w:rPr>
        <w:t xml:space="preserve">Quelle: </w:t>
      </w:r>
      <w:r>
        <w:t>https://mcp.opencaselaw.ch/entscheid/bge_BGE_123_V_335</w:t>
      </w:r>
    </w:p>
    <w:p>
      <w:r>
        <w:t>FR: ATF 123 V 335</w:t>
      </w:r>
    </w:p>
    <w:p>
      <w:r>
        <w:t>IT: DTF 123 V 335</w:t>
      </w:r>
    </w:p>
    <w:p>
      <w:pPr>
        <w:pStyle w:val="Heading2"/>
      </w:pPr>
      <w:r>
        <w:t>Regeste</w:t>
      </w:r>
    </w:p>
    <w:p>
      <w:r>
        <w:t>Regeste Art. 108 Abs. 2 in Verbindung mit Art. 132 OG: Verwaltungsgerichtsbeschwerde; Beschwerdebegründung. Übernahme der Praxis des Bundesgerichts, gemäss welcher eine Auseinandersetzung lediglich mit der materiellen Seite des Falles bei Anfechtung vorinstanzlicher Nichteintretensentscheide keine sachbezogene Begründung und damit keine rechtsgenügliche Verwaltungsgerichtsbeschwerde darstellt (Änderung der Rechtsprechung des Eidg. Versicherungsgerichts im Sinne von BGE 118 Ib 134).</w:t>
      </w:r>
    </w:p>
    <w:p>
      <w:r>
        <w:t>Regeste Art. 108 al. 2 en relation avec l'art. 132 OJ: Recours de droit administratif; motivation du recours. Adoption de la jurisprudence du Tribunal fédéral, selon laquelle le recours qui comporte exclusivement des arguments sur le fond, alors que l'autorité dont le jugement est attaqué n'est pas entrée en matière pour des motifs formels, ne contient pas une motivation topique et ne constitue pas, dès lors, un recours de droit administratif valable (modification de la jurisprudence du Tribunal fédéral des assurances dans le sens de l'arrêt ATF 118 Ib 134).</w:t>
      </w:r>
    </w:p>
    <w:p>
      <w:r>
        <w:t>Regesto Art. 108 cpv. 2 in relazione con l'art. 132 OG: Ricorso di diritto amministrativo; motivazione del ricorso. Adozione della giurisprudenza del Tribunale federale per la quale un gravame comportante solo censure di merito avverso un giudizio d'inammissibilità reso dall'istanza precedente per motivi d'ordine non soddisfa l'esigenza di una motivazione riferita allo specifico oggetto del litigio. Simile atto non costituisce pertanto un valido ricorso di diritto amministrativo (cambiamento della giurisprudenza del Tribunale federale delle assicurazioni nel senso di DTF 118 Ib 134).</w:t>
      </w:r>
    </w:p>
    <w:p>
      <w:pPr>
        <w:pStyle w:val="Heading2"/>
      </w:pPr>
      <w:r>
        <w:t>Erwägungen</w:t>
      </w:r>
    </w:p>
    <w:p>
      <w:r>
        <w:rPr>
          <w:b/>
        </w:rPr>
        <w:t>E. 1</w:t>
      </w:r>
    </w:p>
    <w:p>
      <w:r>
        <w:t>a) Gemäss Art. 108 Abs. 2 in Verbindung mit Art. 132 OG hat die Verwaltungsgerichtsbeschwerde an das Eidg. Versicherungsgericht unter anderem die Begehren und deren Begründung mit Angabe der Beweismittel zu enthalten. Diese Bestimmung soll dem Richter hinreichende Klarheit darüber verschaffen, worum es beim Rechtsstreit geht. Nach der Praxis genügt es, wenn dies der Verwaltungsgerichtsbeschwerde insgesamt entnommen werden kann. Insbesondere muss zumindest aus der Beschwerdebegründung ersichtlich sein, was der Beschwerdeführer verlangt und auf welche Tatsachen er sich beruft. Die Begründung braucht nicht zuzutreffen, aber sie muss sachbezogen sein. Der blosse Hinweis auf frühere Rechtsschriften oder auf den angefochtenen Entscheid genügt nicht. Fehlt der Antrag oder die Begründung überhaupt und lassen sie sich auch nicht der Beschwerdeschrift entnehmen, so liegt keine rechtsgenügliche Beschwerde vor, weshalb auf sie nicht eingetreten werden kann ( BGE 101 V 127 ; ARV 1996/1997 Nr. 28 S. 155 Erw. 1a; ZAK 1988 S. 519 Erw. 1; Steuer Revue 1992 S. 563; vgl. auch BGE 113 Ib 287 f. mit weiteren Hinweisen, insbesondere auf GYGI, Bundesverwaltungsrechtspflege, 2. Aufl. Bern 1983, S. 197). b) Nach der Rechtsprechung des Eidg. Versicherungsgerichts umfasst der in einer Verwaltungsgerichtsbeschwerde gegen einen Nichteintretensentscheid der Vorinstanz gestellte ausschliesslich materielle Beschwerdeantrag - an den generell keine allzu hohen Anforderungen gestellt werden und bei dessen Fehlen auf die Beschwerdeschrift insgesamt zurückzugreifen ist (vgl. Erw. 1a hievor sowie GYGI, a.a.O., S. 196 unten f.) - auch das Begehren, BGE 123 V 335 S. 337 die Vorinstanz habe auf die Sache einzutreten. Sodann ist das Gericht auf Verwaltungsgerichtsbeschwerden gegen vorinstanzliche Nichteintretensentscheide auch dann regelmässig eingetreten, wenn sie sich - ohne dass ein materieller Antrag gestellt wurde - ausschliesslich mit der materiellen Seite des Streitfalles befassten, jedoch sowohl ein sich auf das Nichteintreten der Vorinstanz beziehender Antrag als auch eine diesbezügliche Begründung fehlte ( BGE 117 V 121 ff. Erw. 1 und BGE 105 V 93 f. Erw. 1). Demgegenüber hat das Bundesgericht Verwaltungsgerichtsbeschwerden gegen Nichteintretensentscheide der Vorinstanz, die lediglich eine Auseinandersetzung mit der materiellen Seite des Falles enthalten, nicht als sachbezogen begründete und damit nicht als rechtsgenügliche Beschwerden qualifiziert ( BGE 118 Ib 136 Erw. 2). Diese Diskrepanz in der Rechtsprechung bezüglich den Anforderungen an die Sachbezogenheit der Begründung ist nicht weiter aufrecht zu erhalten, sondern es ist in Änderung der Rechtsprechung die Praxis des Bundesgerichts ( BGE 118 Ib 136 Erw. 2) zu übernehmen, gemäss welcher gegen vorinstanzliche Nichteintretensentscheide erhobene Verwaltungsgerichtsbeschwerden, die sich - ungeachtet eines allenfalls vorhandenen Antrags - lediglich mit der materiellen Seite des Streitfalles befassen, dem Erfordernis einer sachbezogenen Begründung nicht genügen. Hiefür massgebend ist insbesondere, dass nach anerkannter, auch von der Lehre geteilter Auffassung eine minimale Sachbezogenheit der Begründung bei der Verwaltungsgerichtsbeschwerde ein Gültigkeitserfordernis darstellt (GYGI, a.a.O., S. 197; GRISEL, Traité de droit administratif, Neuchâtel 1984, volume II, S. 915; HÄFELIN/MÜLLER, Grundriss des Allgemeinen Verwaltungsrechts, Zürich 1993, S. 352; KÖLZ/HÄNER, Verwaltungsverfahren und Verwaltungsrechtspflege des Bundes, Zürich 1993, S. 158 und 236; RHINOW/KOLLER/KISS, Öffentliches Prozessrecht und Grundzüge des Justizverfassungsrechts des Bundes, Basel und Frankfurt a.M. 1994, S. 266 f.). Eine Auseinandersetzung lediglich mit der materiellen Seite des Falles vermag daher bei Anfechtung eines vorinstanzlichen Nichteintretensentscheides der gesetzlichen Begründungspflicht ebensowenig zu genügen wie ein bloss pauschaler Hinweis auf frühere Rechtsschriften oder auf den angefochtenen Entscheid, welche praxisgemäss die Anforderungen an eine rechtsgenügliche Begründung nicht erfüllen (vgl. Erw. 1a hievor; BGE 113 Ib 287 f. und BGE 101 V 127 , je mit weiteren Hinweisen). Da dem Formerfordernis einer sachbezogenen Begründung nur dann Genüge getan ist, wenn aus der BGE 123 V 335 S. 338 Beschwerdeschrift ersichtlich ist, in welchen Punkten und weshalb der angefochtene Entscheid beanstandet wird ( BGE 113 Ib 287 f. mit Hinweisen), muss sich bei Anfechtung eines Entscheides, mit dem die Vorinstanz auf das Begehren des Beschwerdeführers nicht eingetreten ist, die Begründung der Verwaltungsgerichtsbeschwerde notwendigerweise mit dieser Frage befassen ( BGE 118 Ib 136 Erw. 2). Anders verhält es sich in dem vom Bundesgericht in BGE 118 Ib 136 Erw. 2 zitierten, vom Eidg. Versicherungsgericht am 25. März 1983 beurteilten Fall U. ( BGE 109 V 119 ), bei dem das Nichteintreten der Verwaltung auf ein neues Gesuch zur Diskussion stand und die Vorinstanz - im Gegensatz zu den in BGE 117 V 121 und BGE 105 V 93 entschiedenen Fällen E. und M. - einen materiellen und nicht einen Nichteintretensentscheid gefällt hatte.</w:t>
      </w:r>
    </w:p>
    <w:p>
      <w:r>
        <w:rPr>
          <w:b/>
        </w:rPr>
        <w:t>E. 2</w:t>
      </w:r>
    </w:p>
    <w:p>
      <w:r>
        <w:t>Im vorliegenden Fall enthält die Eingabe der Beschwerdeführerin vom 16. September 1996 namentlich keine sachbezogene Begründung, indem sie jeden Bezug zum angefochtenen Entscheid der Vorinstanz vermissen lässt. Diese ist auf das Rechtsmittel der Beschwerdeführerin wegen Verspätung nicht eingetreten ( Art. 84 Abs. 1 AHVG in Verbindung mit Art. 69 IVG ). Damit setzt sich die Versicherte in der Eingabe vom 16. September 1996 nicht einmal ansatzweise auseinander; vielmehr beschränkt sie sich auf Ausführungen über ihren Gesundheitszustand und die beanstandete Rentenherabsetzung durch die Verwaltung. Somit handelt es sich um eine den Anforderungen von Art. 108 Abs. 2 OG nicht genügende Beschwerdeschrift. Demzufolge kann auf das erhobene Rechtsmittel nicht eingetreten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