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159</w:t>
      </w:r>
    </w:p>
    <w:p>
      <w:r>
        <w:t>Bundesgericht (BGE), 1997-08-22, DE</w:t>
      </w:r>
    </w:p>
    <w:p>
      <w:r>
        <w:rPr>
          <w:b/>
        </w:rPr>
        <w:t xml:space="preserve">Quelle: </w:t>
      </w:r>
      <w:r>
        <w:t>https://mcp.opencaselaw.ch/entscheid/bge_BGE_123_V_159</w:t>
      </w:r>
    </w:p>
    <w:p>
      <w:r>
        <w:t>FR: ATF 123 V 159</w:t>
      </w:r>
    </w:p>
    <w:p>
      <w:r>
        <w:t>IT: DTF 123 V 159</w:t>
      </w:r>
    </w:p>
    <w:p>
      <w:pPr>
        <w:pStyle w:val="Heading2"/>
      </w:pPr>
      <w:r>
        <w:t>Regeste</w:t>
      </w:r>
    </w:p>
    <w:p>
      <w:r>
        <w:t>Regeste Art. 159 Abs. 2 in Verbindung mit Art. 135 OG: Parteientschädigung. Die Parteientschädigung ist aufgrund der Anträge der beschwerdeführenden Partei, gemessen am Ergebnis der Anfechtung des vorinstanzlichen Entscheids - und somit ohne Rücksicht auf die Anträge der Gegenpartei - zu verlegen (Änderung der Rechtsprechung).</w:t>
      </w:r>
    </w:p>
    <w:p>
      <w:r>
        <w:t>Regeste Art. 159 al. 2 en relation avec l'art. 135 OJ: Dépens. Les dépens doivent être fixés sur la base des conclusions de la partie recourante contre le jugement attaqué, compte tenu de l'issue du procès - et, par conséquent, indépendamment des conclusions de la partie intimée (modification de la jurisprudence).</w:t>
      </w:r>
    </w:p>
    <w:p>
      <w:r>
        <w:t>Regesto Art. 159 cpv. 2 in relazione con l'art. 135 OG: Indennità di parte. L'indennità di parte dev'essere riconosciuta in funzione delle conclusioni formulate dal ricorrente, messe in relazione con l'esito della procedura ricorsuale avverso il giudizio impugnato - e, quindi, senza tener conto delle domande dell'opponente (modificazione della giurisprudenza).</w:t>
      </w:r>
    </w:p>
    <w:p>
      <w:pPr>
        <w:pStyle w:val="Heading2"/>
      </w:pPr>
      <w:r>
        <w:t>Erwägungen</w:t>
      </w:r>
    </w:p>
    <w:p>
      <w:r>
        <w:rPr>
          <w:b/>
        </w:rPr>
        <w:t>E. 4</w:t>
      </w:r>
    </w:p>
    <w:p>
      <w:r>
        <w:t>b) Gemäss Art. 159 Abs. 2 erste Satzhälfte OG hat die unterliegende Partei in der Regel der obsiegenden alle durch den Rechtsstreit verursachten notwendigen Kosten zu ersetzen. Die Gegenpartei trägt im Falle des Unterliegens somit grundsätzlich das Kostenrisiko, auch wenn sie den vorinstanzlichen Entscheid nicht zu vertreten hat. Nimmt sie indessen am bundesgerichtlichen Verfahren nicht teil - indem sie beispielsweise auf eine Vernehmlassung verzichtet - oder beantragt sie vernehmlassungsweise Gutheissung der Verwaltungsgerichtsbeschwerde, so wurden ihr nach der Praxis des Eidg. Versicherungsgerichts weder Gerichtskosten auferlegt ( BGE 120 V 57 f. Erw. 7 und 270 Erw. 3), noch wurde sie zur Bezahlung einer Parteientschädigung verhalten. In Änderung dieser Rechtsprechung hat das Eidg. Versicherungsgericht in einem kürzlich ergangenen Urteil entschieden, dass die Gerichtskosten nach Art. 156 OG aufgrund der Anträge der beschwerdeführenden Partei, gemessen am Ergebnis der Anfechtung des vorinstanzlichen Entscheides - und somit ohne Rücksicht auf die Anträge der Gegenpartei - zu verlegen sind ( BGE 123 V 156 ff. Erw. 3). Verzichtet die Gegenpartei auf eine Vernehmlassung, verliert sie dadurch ihre Parteistellung nicht und trägt bis zum Abschluss des Verfahrens das Prozess- und Kostenrisiko. Dies hat grundsätzlich auch mit Bezug auf die Bestimmung des Art. 159 Abs. 2 OG zu gelten. BGE 123 V 159 S. 160 Da der Beschwerdeführer mit seinem Rechtsbegehren vollumfänglich obsiegt, hat ihm die Schweizerische Unfallversicherungsanstalt als unterliegende Partei für das Verfahren vor dem Eidg. Versicherungsgericht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