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133</w:t>
      </w:r>
    </w:p>
    <w:p>
      <w:r>
        <w:t>Bundesgericht (BGE), 1997-09-08, FR</w:t>
      </w:r>
    </w:p>
    <w:p>
      <w:r>
        <w:rPr>
          <w:b/>
        </w:rPr>
        <w:t xml:space="preserve">Quelle: </w:t>
      </w:r>
      <w:r>
        <w:t>https://mcp.opencaselaw.ch/entscheid/bge_BGE_123_V_133</w:t>
      </w:r>
    </w:p>
    <w:p>
      <w:r>
        <w:t>FR: ATF 123 V 133</w:t>
      </w:r>
    </w:p>
    <w:p>
      <w:r>
        <w:t>IT: DTF 123 V 133</w:t>
      </w:r>
    </w:p>
    <w:p>
      <w:pPr>
        <w:pStyle w:val="Heading2"/>
      </w:pPr>
      <w:r>
        <w:t>Regeste</w:t>
      </w:r>
    </w:p>
    <w:p>
      <w:r>
        <w:t>Regeste Art. 15 Abs. 3 UVG, Art. 22 Abs. 1 UVV: Massgebender Höchstbetrag des versicherten Verdienstes bei der Berechnung der Invalidenrente. Ändert der Bundesrat im Verlaufe des Jahres vor dem Unfall den in der Verordnung festgelegten Höchstbetrag des versicherten Verdienstes, ist für die Berechnung der Invalidenrente der Verordnungstext im Unfallzeitpunkt massgebend.</w:t>
      </w:r>
    </w:p>
    <w:p>
      <w:r>
        <w:t>Regeste Art. 15 al. 3 LAA, art. 22 al. 1 OLAA: gain assuré maximum déterminant pour le calcul de la rente d'invalidité. Lorsque l'ordonnance fixant le gain assuré maximum est modifiée par le Conseil fédéral au cours de l'année qui a précédé l'accident, c'est le texte en vigueur au moment de la survenance de l'accident qui est déterminant pour le calcul de la rente d'invalidité.</w:t>
      </w:r>
    </w:p>
    <w:p>
      <w:r>
        <w:t>Regesto Art. 15 cpv. 3 LAINF, art. 22 cpv. 1 OAINF: guadagno assicurato massimo determinante per il calcolo della rendita d'invalidità. Qualora l'ordinanza che fissa l'importo massimo del guadagno assicurato sia stata modificata dal Consiglio federale nel corso dell'anno precedente l'infortunio, fa stato, ai fini del calcolo della rendita d'invalidità, il testo vigente al momento dell'infortunio.</w:t>
      </w:r>
    </w:p>
    <w:p>
      <w:pPr>
        <w:pStyle w:val="Heading2"/>
      </w:pPr>
      <w:r>
        <w:t>Erwägungen</w:t>
      </w:r>
    </w:p>
    <w:p>
      <w:r>
        <w:rPr>
          <w:b/>
        </w:rPr>
        <w:t>E. 1</w:t>
      </w:r>
    </w:p>
    <w:p>
      <w:r>
        <w:t>Le litige porte sur le montant du gain annuel assuré déterminant pour le calcul de la rente d'invalidité. a) Si l'assuré devient invalide à la suite d'un 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LAA). Devenu partiellement invalide à la suite de l'accident, l'intimé a droit à une rente d'invalidité, point au demeurant non litigieux. Conformément à la disposition de l'art. 19 al. 1 LAA précitée, ce droit a pris naissance dès le 1er juillet 1994. b) Le montant de la rente, selon l'art. 15 LAA, est calculé d'après le gain assuré; est déterminant le salaire que l'assuré a gagné durant l'année qui a précédé l'accident. Dans le cas particulier, le salaire gagné durant l'année qui a précédé l'accident dépasse le montant de 100'000 francs.</w:t>
      </w:r>
    </w:p>
    <w:p>
      <w:r>
        <w:rPr>
          <w:b/>
        </w:rPr>
        <w:t>E. 2</w:t>
      </w:r>
    </w:p>
    <w:p>
      <w:r>
        <w:t>a) Le législateur a donné compétence au Conseil fédéral de fixer le montant maximum du gain assuré, en veillant à ce que, en règle générale, au moins 92 pour cent, mais au plus 96 pour cent des travailleurs assurés soient couverts pour le gain intégral (art. 15 al. 3 LAA). Faisant usage de cette compétence, le Conseil fédéral a fixé le montant maximum du gain assuré à 97'200 francs dans son ordonnance en vigueur depuis le 1er janvier 1991 (art. 22 al. 1 OLAA; ordonnance sur l'assurance-accidents du 2 mai 1990, RO 1990 I 768). Antérieurement, ce montant maximum s'élevait à 81'600 francs (ordonnance du 30 avril 1986, RO 1986 I 825). La décision du Conseil fédéral portant modification du montant maximum ne contient pas d'éventuelles dispositions transitoires. BGE 123 V 133 S. 135 Alors que les juges cantonaux ont considéré que le gain assuré de l'intimé devait être fixé en tenant compte du texte en vigueur au moment de l'accident, et retenu par conséquent le montant de 97'200 francs, la CNA soutient, dans son écriture de recours, qu'il y a lieu de procéder à un calcul en tenant compte des maxima légaux pro rata temporis et de prendre en considération la période du 17 juillet 1990 au 16 juillet 1991. b) 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d'assurance. Leur application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121 V 100 consid. 1a et les références). c) Dans le cas particulier, l'état de fait dont découle le droit aux prestations résulte d'un événement isolé dans le temps, l'accident de circulation dont a été victime l'intimé. La situation juridique qui donne lieu à une rente d'invalidité résulte de cet événement accidentel, survenu le 17 juillet 1991. A l'époque étaient en vigueur - depuis le 1er janvier 1991 - les dispositions réglementaires de l'OLAA et en particulier l'art. 22 al. 1 dans sa nouvelle teneur. Appliquées au cas d'espèce, les règles exposées ci-dessus conduisent à retenir comme gain assuré maximum déterminant le montant de 97'200 francs. La thèse contraire de la recourante, qui ne tient pas compte des principes généraux applicables en matière de changement de droit et de droit transitoire, ne repose au demeurant sur aucune base légale ou réglementaire qui justifierait l'application pro rata temporis qu'elle préconise. Par ailleurs, elle conduirait à donner partiellement un effet rétroactif à une norme réglementaire qui n'est plus en vigueur, ce qui est contraire aux principes généraux énoncés plus haut. BGE 123 V 133 S. 136 En définitive, le moment de la survenance de l'accident est déterminant pour fixer le gain assuré maximum. Sans motiver son point de vue, la doctrine s'est également prononcée dans ce sens (MAURER, Schweizerisches Unfallversicherungsrecht, p. 323; RUMO-JUNGO, Bundesgesetz über die Unfallversicherung, 2ème éd., ad art. 15 al. 3, p. 80).</w:t>
      </w:r>
    </w:p>
    <w:p>
      <w:r>
        <w:rPr>
          <w:b/>
        </w:rPr>
        <w:t>E. 3</w:t>
      </w:r>
    </w:p>
    <w:p>
      <w:r>
        <w:t>C'est en vain que, pour justifier sa thèse, la recourante voudrait se référer au principe d'équivalence entre primes et prestations. Déduit de l'art. 115 OLAA, ce principe n'a pas la portée absolue que lui prête la CNA, dès lors que la disposition précitée prévoit de nombreuses exceptions. Par ailleurs, dans le domaine de l'assurance-accidents, il existe d'autres exceptions au principe d'équivalence: ainsi, en cas d'accidents laissant des séquelles durables, des indemnités pour atteinte à l'intégrité ou des allocations pour impotent sont calculées en fonction du gain assuré maximum, sans tenir compte des primes versées; ou, lorsque les rapports de travail ont duré moins d'une année, le salaire reçu au cours de cette période est converti en gain annuel et le gain assuré ne correspondra plus aux primes versées. Enfin, l'invocation du principe d'équivalence manque totalement de pertinence en l'espèce dès lors qu'au moment où le droit à la prestation est né, l'intimé payait précisément depuis le début de l'année des primes correspondant au montant du gain assuré maximum de 97'200 francs. Cela étant, le jugement n'est pas critiquable et le recours se révèle mal fondé.</w:t>
      </w:r>
    </w:p>
    <w:p>
      <w:r>
        <w:rPr>
          <w:b/>
        </w:rPr>
        <w:t>E. 4</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