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31</w:t>
      </w:r>
    </w:p>
    <w:p>
      <w:r>
        <w:t>Bundesgericht (BGE), 1997-01-01, DE</w:t>
      </w:r>
    </w:p>
    <w:p>
      <w:r>
        <w:rPr>
          <w:b/>
        </w:rPr>
        <w:t xml:space="preserve">Quelle: </w:t>
      </w:r>
      <w:r>
        <w:t>https://mcp.opencaselaw.ch/entscheid/bge_BGE_123_I_31</w:t>
      </w:r>
    </w:p>
    <w:p>
      <w:r>
        <w:t>FR: ATF 123 I 31</w:t>
      </w:r>
    </w:p>
    <w:p>
      <w:r>
        <w:t>IT: DTF 123 I 31</w:t>
      </w:r>
    </w:p>
    <w:p>
      <w:pPr>
        <w:pStyle w:val="Heading2"/>
      </w:pPr>
      <w:r>
        <w:t>Regeste</w:t>
      </w:r>
    </w:p>
    <w:p>
      <w:r>
        <w:t>Regeste Art. 4 BV, persönliche Freiheit, Art. 5 Ziff. 4 EMRK. Haftprüfung. Begründungspflicht, Fluchtgefahr, Sperrfrist. Der Anspruch auf rechtliches Gehör wird nicht verletzt, wenn die Haftrichterin auf die Haftgründe genügend darlegende Stellungnahme der Untersuchungsbehörde verweist, statt ihren Entscheid mit einer eigenen Begründung zu versehen (E. 2). Fluchtgefahr besteht auch dann, wenn sich der Angeschuldigte in ein Land begeben will, das die Auslieferung an die Schweiz bewilligen oder selbst ein Strafverfahren durchführen würde (E. 3). Recht auf Haftüberprüfung zumindest "in vernünftigen" Abständen: Welche Abstände als "vernünftig" anzusehen sind, richtet sich nach den Verhältnissen des Einzelfalles und den Besonderheiten der anwendbaren Prozessvorschriften; eine Sperrfrist von einem Monat verstösst grundsätzlich nicht gegen Art. 5 Ziff. 4 EMRK, wohl aber hier eine solche von zwei Monaten, die lediglich mit der Stellung von drei Haftentlassungsgesuchen innerhalb eines Monats begründet wird (E. 4).</w:t>
      </w:r>
    </w:p>
    <w:p>
      <w:r>
        <w:t>Regeste Art. 4 Cst., garantie de la liberté individuelle, art. 5 par. 4 CEDH. Contrôle judiciaire de la détention préventive; obligation de motiver, danger de fuite, délai d'attente. Le droit d'être entendu n'est pas violé lorsque le juge de la détention motive sa décision en renvoyant à la prise de position de l'autorité d'instruction, qui indique de manière suffisante les motifs de la détention (consid. 2). Le danger de fuite existe également lorsque le prévenu entend se rendre dans un pays qui autoriserait l'extradition à la Suisse ou qui engagerait lui-même une procédure pénale (consid. 3). Droit à un contrôle judiciaire de la détention "à intervalles raisonnables": le caractère "raisonnable" d'un intervalle se détermine selon les circonstances concrètes de la cause et les particularités des dispositions de procédure applicables. Un délai d'attente d'un mois pour présenter une demande de mise en liberté n'est en principe pas contraire à l'art. 5 par. 4 CEDH; tel est en revanche le cas d'un délai de deux mois justifié uniquement par l'introduction de trois demandes successives de mise en liberté en l'espace d'un mois (consid. 4).</w:t>
      </w:r>
    </w:p>
    <w:p>
      <w:r>
        <w:t>Regesto Art. 4 Cost., garanzia della libertà personale, art. 5 n. 4 CEDU. Controllo giudiziario del carcere preventivo; obbligo di motivazione, pericolo di fuga, termine di attesa. Il diritto di essere sentito non è violato quando il giudice chiamato a pronunciarsi sulla detenzione motiva la propria decisione rinviando alla presa di posizione dell'autorità inquirente, che indica in maniera sufficiente i motivi della detenzione (consid. 2). Il pericolo di fuga sussiste anche nel caso in cui l'accusato intenda recarsi in un paese che autorizzerebbe l'estradizione alla Svizzera o che condurrebbe esso stesso un procedimento penale (consid. 3). Diritto ad un controllo giudiziario della detenzione ad intervalli "ragionevoli": quando un intervallo possa essere considerato "ragionevole" si determina secondo le circostanze del caso concreto e le particolarità del diritto procedurale applicabile. Un termine d'attesa di un mese non lede di massima l'art. 5 n. 4 CEDU; per contro un termine di due mesi viola tale disposizione, se è giustificato unicamente dal fatto che l'accusato ha presentato tre richieste di scarcerazione nello spazio di un mese (consid. 4).</w:t>
      </w:r>
    </w:p>
    <w:p>
      <w:pPr>
        <w:pStyle w:val="Heading2"/>
      </w:pPr>
      <w:r>
        <w:t>Erwägungen</w:t>
      </w:r>
    </w:p>
    <w:p>
      <w:r>
        <w:rPr>
          <w:b/>
        </w:rPr>
        <w:t>E. 2</w:t>
      </w:r>
    </w:p>
    <w:p>
      <w:r>
        <w:t>a) Der Beschwerdeführer rügt in seiner Beschwerdeschrift an mehreren Stellen, die angefochtene Verfügung sei ungenügend begründet, weshalb sein Anspruch auf Gewährung des rechtlichen Gehörs verletzt worden sei. b) Die Verfügung des Haftrichters enthält keine Darstellung des Tatverdachts und im Zusammenhang mit der Kollusionsgefahr keinen Hinweis darauf, welche Untersuchungsmassnahmen noch getroffen werden müssen; der blosse Hinweis, weitere Geschädigte müssten noch überprüft werden, genügt für sich allein nicht, um die BGE 123 I 31 S. 34 Annahme der Kollusionsgefahr zu begründen. Der Haftrichter verweist aber unter anderem auf den Antrag der Bezirksanwaltschaft auf Ablehnung des Haftentlassungsgesuches und Fortsetzung der Untersuchungshaft vom 17. Januar 1997. c) Das rechtliche Gehör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Die Begründung eines Entscheids muss so abgefasst sein, dass der Betroffene ihn gegebenenfalls sachgerecht anfechten kann ( BGE 112 Ia 109 E. b, mit Hinweisen; vgl. auch BGE 114 Ia 242 E. 2d). Das Bundesgericht entschied mehrmals, die aus Art. 4 BV abgeleitete Pflicht zur Gewährung des rechtlichen Gehörs verleihe den Parteien keinen Anspruch auf eine ausführliche schriftliche Urteilsbegründung. So sei es grundsätzlich zulässig, dass das angefochtene Urteil auf die Begründung des erstinstanzlichen Urteils verweise. Die Parteien könnten ein Urteil sachgerecht anfechten, wenn sie die Urteilsmotive wenigstens im vorinstanzlichen Urteil nachlesen könnten. Ein blosser Hinweis auf "die Akten" im zweitinstanzlichen Urteil genüge jedoch in keinem Fall als Begründung und verletze Art. 4 BV ( BGE 111 Ia 4 E. 4a mit Hinweisen; BGE 103 Ia 409 E. 3a; 98 Ia 464 E. 5a). d) Die Bezirksanwaltschaft begründete in ihrem Antrag auf Fortsetzung der Untersuchungshaft vom 17. Januar 1997 den dringenden Tatverdacht zusammengefasst damit, der Beschwerdeführer habe in deutschen Tageszeitungen Kreditinteressenten gesucht, die interessierten Personen in Zürich unter einem falschen Namen getroffen und sie in stundenweise gemieteten Büroräumen in Zürich zusammen mit X. veranlasst, Honorare und Kautionen in unbestimmter, sicher aber Fr. 60'000.-- übersteigender Höhe zu bezahlen. Zwei der geschädigten Personen seien bisher den Strafverfolgungsbehörden bekannt (Y. und P.), der Beschwerdeführer habe aber mit Sicherheit gegenüber weiteren Personen entsprechend gehandelt, was von einer Zeugin beobachtet worden sei und aus Unterlagen des Beschwerdeführers hervorgehe. Die Kollusionsgefahr ergebe sich daraus, dass der Beschwerdeführer nach einer Freilassung mit seinem mutmasslichen Mittäter X. und den zum Teil noch unbekannten Geschädigten Kontakt aufnehmen könnte. Fluchtgefahr müsse angenommen werden, weil der Beschwerdeführer nach einer Freilassung zu seiner Familie nach Deutschland ausreisen wolle. BGE 123 I 31 S. 35 Diese Ausführungen genügen in formeller Hinsicht als Begründung dafür, den Beschwerdeführer vorläufig nicht aus der Untersuchungshaft zu entlassen. Der Beschwerdeführer konnte die Verfügung des Haftrichters sachgerecht anfechten, was er mit der vorliegenden staatsrechtlichen Beschwerde auch getan hat. Seine Rüge, der Haftrichter habe die Begründungspflicht verletzt und ihm damit das rechtliche Gehör verweigert, erweist sich als unbegründet.</w:t>
      </w:r>
    </w:p>
    <w:p>
      <w:r>
        <w:rPr>
          <w:b/>
        </w:rPr>
        <w:t>E. 3</w:t>
      </w:r>
    </w:p>
    <w:p>
      <w:r>
        <w:t>a) Bei staatsrechtlichen Beschwerden, die gestützt auf das verfassungsmässige Recht der persönlichen Freiheit wegen der Ablehnung eines Haftentlassungsgesuches erhoben werden, prüft das Bundesgericht im Hinblick auf die Schwere des Eingriffes die Auslegung und Anwendung des entsprechenden kantonalen Rechts frei. Soweit jedoch reine Verfahrensfragen zu beurteilen sind, greift das Bundesgericht nur bei Willkür ein ( BGE 117 Ia 74 E. 1; BGE 115 Ia 297 E. 1b, je mit Hinweisen). b) Gemäss § 58 Abs. 1 des kantonalen Gesetzes vom 4. Mai 1919 betreffend den Strafprozess (Strafprozessordnung; StPO) darf Untersuchungshaft nur angeordnet werden, wenn der Angeschuldigte eines Verbrechens oder Vergehens dringend verdächtigt wird und ausserdem aufgrund bestimmter Anhaltspunkte ernsthaft befürchtet werden muss, er werde sich der Strafverfolgung oder der zu erwartenden Strafe durch Flucht entziehen (Ziff. 1), Spuren oder Beweismittel beseitigen, Dritte zu falschen Aussagen zu verleiten suchen oder die Abklärung des Sachverhaltes auf andere Weise gefährden (Ziff. 2), oder nachdem er bereits zahlreiche Verbrechen oder erhebliche Vergehen verübt hat, erneut solche Straftaten begehen (Ziff. 3). c) Die in § 58 Abs. 1 Ziff. 2 StPO erwähnte Kollusion bedeutet, dass sich der Beschuldigte mit Zeugen, Auskunftspersonen, Sachverständigen oder Mitbeschuldigten ins Einvernehmen setzt oder sie zu wahrheitswidrigen Aussagen veranlasst. Die Untersuchungshaft wegen Kollusionsgefahr soll verhindern, dass ein Angeschuldigter die Freiheit oder einen Urlaub dazu missbrauchen würde, die wahrheitsgetreue Abklärung des Sachverhaltes zu vereiteln oder zu gefährden. Jedoch genügt nach der Rechtsprechung des Bundesgerichtes die theoretische Möglichkeit, dass der Angeschuldigte in Freiheit kolludieren könnte, nicht, um die Fortsetzung der Haft oder die Nichtgewährung von Urlauben unter diesem Titel zu rechtfertigen. Es müssen vielmehr konkrete Indizien für eine solche Gefahr sprechen ( BGE 117 Ia 257 E. 4b, 4c, mit Hinweisen auf unveröffentlichte Urteile des Bundesgerichts). BGE 123 I 31 S. 36 Der Beschwerdeführer hält der Darstellung der Bezirksanwaltschaft zunächst entgegen, nach X. werde weder von den schweizerischen noch von den deutschen Strafverfolgungsbehörden gefahndet. Den deutschen Behörden sei sein Aufenthaltsort bekannt. Der Beschwerdeführer unterlässt es jedoch, für seine Behauptung irgendeinen Beweis oder Beleg zu nennen. Die Behauptung des Beschwerdeführers erfüllt deshalb die Anforderungen an die Begründung einer staatsrechtlichen Beschwerde gemäss Art. 90 Abs. 1 lit. b OG nicht, weshalb insoweit nicht darauf einzutreten ist. Der Beschwerdeführer verweist zutreffend auf den Umstand, dass ausser Y. und P. keine weiteren Geschädigten bekannt sind. Wie die Bezirksanwaltschaft ausführt, steht aber fest, dass der Beschwerdeführer gegen mehrere weitere Personen in der gleichen Weise vorgegangen ist wie gegen Y. und P.. In der Strafuntersuchung wird es in der nächsten Zeit darum gehen, die weiteren geschädigten Personen zu ermitteln. Unter diesen Umständen muss mit einer gewissen Wahrscheinlichkeit angenommen werden, d.h. es bestehen konkrete Indizien dafür, dass der Beschwerdeführer, würde er jetzt freigelassen, mit einzelnen oder mit allen bisher unbekannten Geschädigten in Kontakt treten und sie davon abhalten könnte, sich gegenüber den Behörden als Geschädigte zu bekennen. Zumindest in dieser Hinsicht besteht weiterhin Kollusionsgefahr, und die entsprechende Rüge erweist sich als unbegründet, soweit sie zulässig ist. d) Die kantonalen Behörden nehmen ausser Kollusionsgefahr auch Fluchtgefahr an. Der Beschwerdeführer erklärt selbst in seiner Beschwerdeschrift, er wolle nach einer Freilassung sofort nach Deutschland zurückkehren, um seine in Not geratene Familie nach Kräften zu unterstützen. Gestützt auf den Vorbehalt der Bundesrepublik Deutschland zu Art. 6 des Europäischen Auslieferungsübereinkommens vom 13. Dezember 1957 (EAUe; SR 0.353.1, S. 14) ist die Auslieferung eines Deutschen aus der Bundesrepublik Deutschland an einen andern Staat nach Art. 16 Abs. 2 Satz 1 des Grundgesetzes für die Bundesrepublik Deutschland nicht zulässig und muss daher in jedem Fall abgelehnt werden. Gemäss Art. 6 Ziff. 2 EAUe ist die Bundesrepublik Deutschland aber verpflichtet, die Strafsache ihren eigenen Behörden zu unterbreiten. Voraussetzung dafür ist ein förmliches Rechtshilfegesuch der schweizerischen Behörden. Nach der bisher nicht in der amtlichen Sammlung veröffentlichten Rechtsprechung des Bundesgerichts lehnt das Bundesgericht die Lehrmeinung (s. Martin Schubarth, Die Rechte des Beschuldigten BGE 123 I 31 S. 37 im Untersuchungsverfahren, insbesondere bei Untersuchungshaft, Bern 1973, S. 85) ab, wonach die blosse Fluchtgefahr die Untersuchungshaft nicht zu rechtfertigen vermag, wenn als Ziel der Flucht nur oder vor allem ein Land in Betracht fällt, das nötigenfalls die Auslieferung bewilligen oder selbst die Beurteilung der Sache übernehmen würde. Dem Staat, welchem die Strafhoheit zusteht, ist es nicht zuzumuten, auf die Sicherung der Person des Angeschuldigten zu verzichten und bei dessen Flucht den langwierigen Weg des Auslieferungsbegehrens oder eines Ersuchens um Übernahme der Strafverfolgung zu beschreiten. Ob in einem bestimmten Fall Fluchtgefahr besteht, ist demnach grundsätzlich in bezug auf das in der Schweiz geführte Strafverfahren (und allenfalls Vollzugsverfahren) zu überprüfen (vgl. das auszugsweise in SJIR 1985 S. 285 veröffentliche Urteil des Bundesgerichts vom 11. Dezember 1984 i.S. Kühnis, E. 2b). Die vom Beschwerdeführer selbst zugegebene Absicht, nach einer Entlassung aus der Haft nach Deutschland zu reisen, genügt für die Annahme der Fluchtgefahr, obwohl die Bundesrepublik Deutschland allenfalls selbst ein Strafverfahren gegen den Beschwerdeführer durchführen müsste. Die Behörden des Kantons Zürich erkannten deshalb zu Recht, es bestehe Fluchtgefahr im Sinne von § 58 Abs. 1 Ziff. 1 StPO . Die staatsrechtliche Beschwerde erweist sich auch in dieser Beziehung als unbegründet.</w:t>
      </w:r>
    </w:p>
    <w:p>
      <w:r>
        <w:rPr>
          <w:b/>
        </w:rPr>
        <w:t>E. 4</w:t>
      </w:r>
    </w:p>
    <w:p>
      <w:r>
        <w:t>a) Der Beschwerdeführer wendet sich auch gegen die in Ziffer 3 der angefochtenen Verfügung angeordnete Sperrfrist von fast zwei Monaten, um ein neues Gesuch um Haftentlassung zu stellen. Er beruft sich auf einen Bericht der Europäischen Kommission für Menschenrechte in EuGRZ 15 (1988) 506 sowie auf die Recommandation No R (80) 11 des Europarates vom 27. Juni 1980 und macht geltend, eine Sperrfrist, welche 30 Tage überschreite, verstosse gegen Art. 5 Ziff. 4 EMRK . b) Gemäss § 64 StPO kann der Angeschuldigte "jederzeit" ein Gesuch um Aufhebung der Untersuchungshaft stellen. Vorbehalten wird allerdings § 66 StPO . Dieser lautet wie folgt: "Der Haftrichter kann bei Anordnung der Untersuchungshaft und bei Abweisung eines Gesuches um Aufhebung der Haft einen Zeitpunkt bestimmen, bis zu welchem kein beziehungsweise kein neues Gesuch zugelassen wird." c) Nach Art. 5 Ziff. 4 EMRK hat jedermann, dem seine Freiheit durch Festnahme oder Haft entzogen wird, das Recht, ein Verfahren BGE 123 I 31 S. 38 zu beantragen, in dem von einem Gericht raschmöglichst über die Rechtmässigkeit der Haft entschieden und im Falle der Widerrechtlichkeit seine Entlassung angeordnet wird (vgl. auch die analoge Bestimmung in Art. 9 Ziff. 4 des Internationalen Paktes über bürgerliche und politische Rechte vom 16. Dezember 1966 [UNO-Pakt II; SR 0.103.2, AS 1993 750]). Ist die Entscheidung, mit der dem Betroffenen die Freiheit entzogen wird, von einem Verwaltungsorgan getroffen worden, kann dieser ohne weiteres eine gerichtliche Prüfung der Rechtmässigkeit der Haft verlangen; wenn ursprünglich der Entscheid über die Freiheitsentziehung von einem Gericht ausgeht, kann es angesichts der Natur des in Frage stehenden Freiheitsentzuges notwendig sein, dass die Rechtmässigkeit in vernünftigen Abständen überprüft wird ( BGE 116 Ia 60 E. 2, mit zahlreichen Hinweisen auf die Rechtsprechung der Strassburger Instanzen). Der Angeschuldigte hat schon gestützt auf die persönliche Freiheit das Recht, jederzeit oder zumindest "in vernünftigen Abständen" ein Haftentlassungsgesuch zu stellen und nötigenfalls eine richterliche Haftprüfung zu beantragen. Dabei muss er insbesondere das Vorliegen ausreichender Haftgründe und die Verhältnismässigkeit der Haft überprüfen lassen können ( BGE 117 Ia 72 E. 1d, 372 E. 3a; BGE 116 Ia 60 E. 2). Für die Frage, welche Abstände zwischen periodischen Haftprüfungen als "vernünftig" anzusehen sind, kommt es auf die Verhältnisse des konkreten Falles und auf die Besonderheiten der anwendbaren Prozessvorschriften an (VELU/ERGEC, La Convention européenne des droits de l'homme, Bruxelles 1990, S. 307, N. 350; MANFRED NOWAK, UNO-Pakt über bürgerliche und politische Rechte und Fakultativprotokoll - CCPR-Kommentar, Kehl etc. 1989, N 45 zu Art. 9; vgl. auch die Recommandation No R [80] 11 des Ministerkomitees des Europarates, Ziff. 14, die von "intervalles assez courts" spricht). Während relativ lange Abstände angebracht und zulässig sind, wenn es sich um die Unterbringung eines Geisteskranken handelt, dürfen diese Abstände nur verhältnismässig kurz sein, wenn der Betroffene sich unter dem Verdacht der Begehung einer Straftat in Untersuchungshaft befindet. Eine Sperrfrist von einem Monat, um ein neues Gesuch um Entlassung aus der Untersuchungshaft zu stellen, verstösst grundsätzlich nicht gegen Art. 5 Ziff. 4 EMRK (Urteile des Europäischen Gerichtshofes für Menschenrechte vom 15. November 1996 i.S. Silva Rocha gegen Portugal, E. 31, 32, 82/1995/588/674, und vom 25. Oktober 1989 i.S. Bezicheri gegen Italien, Serie A Nr. 164, E. 21; Bericht der BGE 123 I 31 S. 39 Europäischen Kommission für Menschenrechte in derselben Sache vom 10. März 1988, E. 38, veröffentlicht auch in EuGRZ 15 [1988] 506; vgl. auch Stefan Trechsel, Liberty and Security of Person, in: MACDONALD/MATSCHER/PETZOLD, The European System for the Protection of Human Rights, Dordrecht etc. 1993, S. 277-344, S. 323). d) § 66 StPO sagt über die zulässige Höchstdauer der Sperrfrist für neue Haftentlassungsgesuche nach zürcherischem Strafprozessrecht nichts aus. Auch die Gründe für die Anordnung einer Sperrfrist werden im Gesetz nicht genannt. Die neue Literatur zum zürcherischen Strafprozessrecht hält eine Sperrfrist von einem Monat für zulässig. Eine längere Sperrfrist sei nur ausnahmsweise bei besonderen Umständen gerechtfertigt, nämlich dann, wenn den im Verlaufe des Verfahrens sich wandelnden tatsächlichen Verhältnissen mit Blick auf den Tatverdacht wie den besonderen Haftgrund auch so ausreichend Rechnung getragen werden könne. Möglich sei dies beispielsweise nach einem glaubwürdigen, zumindest teilweise überprüften Geständnis des Angeschuldigten, sofern die Flucht-Kollusions- oder Wiederholungsgefahr aller Voraussicht nach auch in Zukunft unverändert gross sei. Eine drei Monate übersteigende Sperrfrist sei generell konventions- und verfassungswidrig (DONATSCH/SCHMID, Kommentar zur Strafprozessordnung des Kantons Zürich, Zürich 1996, § 66 N. 8). Dem Interesse des Untersuchungsgefangenen an einer Überprüfung der Untersuchungshaft in regelmässigen, vernünftigen Abständen steht das Interesse der Strafverfolgungsbehörden an der Nichtzulassung rechtsmissbräuchlicher, trölerischer oder offensichtlich unzulässiger Gesuche entgegen. Das Interesse der Strafverfolgungsbehörden ist indessen grundsätzlich geringer zu bewerten, denn es steht dem Haftrichter frei, auf rechtsmissbräuchliche, trölerische oder offensichtlich unzulässige Gesuche nicht einzutreten oder offensichtlich unbegründete Gesuche mit bloss summarischer Begründung abzuweisen (vgl. das Urteil des Bundesgerichts vom 8. April 1994 i.S. A., E. 3b, in EuGRZ 21 [1994] 491). e) Im vorliegenden Fall begründete die Haftrichterin die zweimonatige Sperrfrist allein damit, der Beschwerdeführer habe innerhalb eines Monats drei Gesuche um Haftentlassung gestellt und damit die Strafuntersuchung unnötig behindert. Diese Begründung nimmt keinen Bezug auf den Stand der Strafuntersuchung. Auch lässt sich daraus nicht entnehmen, ob die weiteren noch erforderlichen Untersuchungshandlungen frühestens nach zwei Monaten abgeschlossen sein werden und ob die Flucht- oder die Kollusionsgefahr noch so BGE 123 I 31 S. 40 lange andauern werden. Die Sperrfrist von zwei Monaten für die Einreichung eines neuen Gesuchs um Entlassung aus der Untersuchungshaft erweist sich unter diesen Umständen als übersetzt. Die staatsrechtliche Beschwerde ist in dieser Hinsicht begründet. Die angefochtene Verfügung ist deshalb soweit aufzuheben, als die Untersuchungshaft bis mindestens am 19. März 1997 verlängert und eine Sperrfrist bis zum gleichen Datum angeordnet wurde.</w:t>
      </w:r>
    </w:p>
    <w:p>
      <w:r>
        <w:rPr>
          <w:b/>
        </w:rPr>
        <w:t>E. 5</w:t>
      </w:r>
    </w:p>
    <w:p>
      <w:r>
        <w:t>Der Beschwerdeführer beantragt schliesslich, den kantonalen Behörden sei eine kurze Frist anzusetzen, innerhalb welcher sie die allenfalls noch erforderlichen Untersuchungshandlungen vorzunehmen hätten; die Fristansetzung sei mit der Androhung zu verbinden, dass im Säumnisfall der Beschwerdeführer aus der Haft zu entlassen sei. Beim gegenwärtigen Stand der Untersuchung lässt sich nicht mit Bestimmtheit feststellen, wieviel Zeit für die noch erforderlichen Untersuchungshandlungen nötig sein wird. Weil das Bundesgericht die von der Haftrichterin angeordnete Sperrfrist aufhebt, kann der Beschwerdeführer die Untersuchungshaft jederzeit überprüfen lassen, gegebenenfalls auch durch das Bundesgericht. Damit erübrigt es sich, den kantonalen Behörden eine Frist anzusetzen, bis zu welcher sie die noch erforderlichen Untersuchungen vornehmen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