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264</w:t>
      </w:r>
    </w:p>
    <w:p>
      <w:r>
        <w:t>Bundesgericht (BGE), 1997-01-01, DE</w:t>
      </w:r>
    </w:p>
    <w:p>
      <w:r>
        <w:rPr>
          <w:b/>
        </w:rPr>
        <w:t xml:space="preserve">Quelle: </w:t>
      </w:r>
      <w:r>
        <w:t>https://mcp.opencaselaw.ch/entscheid/bge_BGE_123_I_264</w:t>
      </w:r>
    </w:p>
    <w:p>
      <w:r>
        <w:t>FR: ATF 123 I 264</w:t>
      </w:r>
    </w:p>
    <w:p>
      <w:r>
        <w:t>IT: DTF 123 I 264</w:t>
      </w:r>
    </w:p>
    <w:p>
      <w:pPr>
        <w:pStyle w:val="Heading2"/>
      </w:pPr>
      <w:r>
        <w:t>Regeste</w:t>
      </w:r>
    </w:p>
    <w:p>
      <w:r>
        <w:t>Regeste Art. 46 Abs. 2 BV (Verbot der Doppelbesteuerung; Besteuerung der Nacherbschaft). Der Nacherbe erwirbt die Erbschaft des Erblassers, weshalb die Besteuerung der Nacherbschaft dem Kanton des letzten Wohnsitzes des Erblassers zur Besteuerung zusteht (E. 2).</w:t>
      </w:r>
    </w:p>
    <w:p>
      <w:r>
        <w:t>Regeste Art. 46 al. 2 Cst. (interdiction de la double imposition; imposition de la substitution fidéicommissaire). La compétence d'imposer la succession acquise par l'appelé d'une substitution fidéicommissaire appartient au canton du dernier domicile du disposant, l'appelé recevant la succession de celui-ci (consid. 2).</w:t>
      </w:r>
    </w:p>
    <w:p>
      <w:r>
        <w:t>Regesto Art. 46 cpv. 2 Cost. (divieto della doppia imposizione; imposizione della sostituzione fedecommissaria). L'erede sostituito acquista l'eredità del disponente, motivo per cui spetta al cantone dell'ultimo domicilio del disponente tassare l'eredità (consid. 2).</w:t>
      </w:r>
    </w:p>
    <w:p>
      <w:pPr>
        <w:pStyle w:val="Heading2"/>
      </w:pPr>
      <w:r>
        <w:t>Erwägungen</w:t>
      </w:r>
    </w:p>
    <w:p>
      <w:r>
        <w:rPr>
          <w:b/>
        </w:rPr>
        <w:t>E. 2</w:t>
      </w:r>
    </w:p>
    <w:p>
      <w:r>
        <w:t>a) Eine gegen Art. 46 Abs. 2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 BGE 116 Ia 127 E. 2a S. 130). Vorliegend ist eine aktuelle Doppelbesteuerung gegeben, da die Beschwerdeführerinnen für den Nachlass des G. sowohl an dessen letztem Wohnsitz im Kanton Zürich als auch am letzten Wohnsitz der Vorerbin im Kanton Tessin belastet werden. b) Zugänge beweglichen Vermögens aus Erbschaft unterliegen nach ständiger Praxis der Erbschaftssteuer im Kanton des letzten Wohnsitzes des Erblassers ( BGE 95 I 26 E. 2 S. 29; BGE 108 Ia 252 E. 3 S. 254; ERNST HÖHN, Interkantonales Steuerrecht, 3. Aufl. 1993, N. 13 zu § 17 S. 241). Es ist unbestritten, dass die Erbschaft, soweit sie direkt von der verstorbenen F. stammt, im Kanton Tessin zu versteuern ist. Hingegen beansprucht der Kanton Zürich die Steuerhoheit für die BGE 123 I 264 S. 266 Vermögenswerte, die von G., dessen letzter Wohnsitz Zürich war, stammen und die dessen Ehefrau nur als Vorerbin erhalten hatte. Der Kanton Tessin hat denn diese Vermögenswerte in seiner Veranlagungsverfügung und im Einspracheentscheid auch ausdrücklich als vom Onkel herkommend ("quota ricevuta dallo zio") bezeichnet. Die sog. Nacherbeneinsetzung regelt zwei aufeinanderfolgende Erbgänge in der Weise, dass der Vorerbe durch Verfügung des Erblassers verpflichtet wird, die Erbschaft zu einem späteren Zeitpunkt (meist beim Tod des Vorerben, Art. 489 Abs. 1 ZGB ) dem Nacherben auszuliefern. Vorerbe und Nacherbe sind beide unmittelbare Erben desselben Erblassers (vgl. Art. 491 Abs. 1 und Art. 492 Abs. 1 ZGB ; ESCHER, Zürcher Kommentar, N. 1 zu Art. 491 ZGB , N. 1 und 2 zu Art. 492 ZGB ). Der Nacherbe gilt insbesondere nicht als Erbe des Vorerben (THOMAS CHRISTEN, Nacherbfolge aus steuerrechtlicher Sicht, ASA 63 S. 258). Da der Nacherbe die Erbschaft zivilrechtlich direkt vom Erblasser erwirbt (EUGEN HUBER, Erläuterungen zum Vorentwurf ZGB, Bern 1914, S. 396 f.), liegt die Steuerhoheit am letzten Wohnsitz des Erblassers und nicht an demjenigen des Vorerben (CHRISTEN, a.a.O., S. 275). Es steht somit fest, dass die Steuerhoheit für die Nacherbschaft dem Kanton Zürich zusteht. c) Die Beschwerdeführerinnen und der Kanton Tessin machen geltend, der Kanton Zürich habe seinen Steueranspruch verwirkt, da er mit dessen Geltendmachung ungebührlich lange zugewartet habe. Nach der bundesgerichtlichen Rechtsprechung verwirkt ein Kanton, der die für die Steuerpflicht massgebenden Tatsachen kennt oder kennen kann, das Recht auf Besteuerung, wenn er gleichwohl mit der Erhebung des Steueranspruchs ungebührlich lange zuwartet und wenn überdies ein anderer Kanton - bei Gutheissung dieses erst nachträglich erhobenen Steueranspruchs - zur Rückerstattung von Steuern verpflichtet werden müsste, die er formell ordnungsgemäss, in guten Treuen und in Unkenntnis des kollidierenden Steueranspruchs bezogen hat ( BGE 94 I 318 E. 4b S. 321, mit Hinweisen; ASA 56 85 E. 4b ; 64 167 E. 5a; Peter Locher, Das interkantonale Doppelbesteuerungsrecht, § 2 IV D, namentlich Nr. 35). Diese Einrede, die nicht nur auf die periodischen Steuern auf dem Einkommen und dem Vermögen, sondern auch auf die Erbschaftssteuer anwendbar ist ( BGE 74 I 267 E. 2 S. 271), kann nur von anderen Kantonen, nicht aber vom Steuerpflichtigen selber erhoben werden ( BGE 94 I 318 E. 4a S. 321, mit Hinweisen). BGE 123 I 264 S. 267 Die Einrede des Kantons Tessin dringt im vorliegenden Fall nicht durch. Wohl scheint zuzutreffen, dass der Tod der Vorerbin dem Notariat W., dem Zivilstandsamt der Stadt Zürich und dem Tagblatt der Stadt Zürich mitgeteilt worden ist. Doch mussten diese Mitteilungen nicht dazu führen, dass der Kanton seinen Steueranspruch hätte kennen können. Beim Notariat W. musste der Ehe- und Erbvertrag angefordert werden, im Tagblatt der Stadt Zürich wurde eine Todesanzeige veröffentlicht, und dem Zivilstandsamt der Stadt Zürich wurde der Tod der Vorerbin gemeldet, die Bürgerin dieser Stadt war. Die Finanzdirektion des Kantons Zürich macht aber zu Recht geltend, dass in aller Regel weder die Einforderung eines Ehe- und Erbvertrags noch die Meldung des Todes eines Bürgers der Stadt Zürich mit ausserkantonalem Wohnsitz zu einem Steueranspruch des Kantons führt. Deshalb kann dem Kanton auch nicht angelastet werden, dass solche Meldungen nicht systematisch an die Steuerbehörde weitergeleitet werden. Der Kanton Zürich überprüft offenbar in periodischen Abständen die Steuerverfahren, bei denen im Falle des Versterbens des Vorerben ein Anspruch auf Besteuerung der Nacherbschaft besteht. Es leuchtet ein, dass die Überprüfung, ob der Vorerbe noch lebt, aufwendig sein kann, wenn dieser seinen Wohnsitz nicht im Kanton hat. Unter diesen Umständen lässt sich nicht sagen, dass der Kanton Zürich seinen Anspruch früher hätte geltend machen müssen, zumal die Steuerbehörden des Kantons Tessin denjenigen des Kantons Zürich keine entsprechende Mitteilung gemacht haben. d) Schliesslich wirft die Finanzdirektion des Kantons Zürich die Frage auf, ob die Beschwerdeführerinnen das Recht zur Doppelbesteuerungsbeschwerde gegenüber dem Kanton Tessin verwirkt haben. Dieses Recht verwirkt der Steuerpflichtige nach der bundesgerichtlichen Praxis, wenn er in Kenntnis des kollidierenden Steueranspruchs eines anderen Kantons die Besteuerungsbefugnis ausdrücklich oder stillschweigend vorbehaltlos anerkennt, so etwa durch ausdrückliche Erklärung, Abgabe der Steuererklärung, Unterlassen der Einsprache oder weiteren Rechtsmitteln und Bezahlung des veranlagten Steuerbetrags (vgl. BGE 101 Ia 384 E. 1 S. 386; ASA 57 582 E. 2b ; 58 538 E. 2c; LOCHER, a.a.O., § 12 III D). Die Verwirkung wird jedoch nicht von Amtes wegen berücksichtigt, sondern nur auf Einrede des Kantons, dessen Steueranspruch dermassen anerkannt wurde (ASA 57 582 E. 2b). Da der Kanton Tessin sich gegenüber den Beschwerdeführerinnen nicht auf die Verwirkung ihres Beschwerderechts beruft, stellt sich diese Frage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