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61</w:t>
      </w:r>
    </w:p>
    <w:p>
      <w:r>
        <w:t>Bundesgericht (BGE), 1995-12-12, DE</w:t>
      </w:r>
    </w:p>
    <w:p>
      <w:r>
        <w:rPr>
          <w:b/>
        </w:rPr>
        <w:t xml:space="preserve">Quelle: </w:t>
      </w:r>
      <w:r>
        <w:t>https://mcp.opencaselaw.ch/entscheid/bge_BGE_123_IV_61</w:t>
      </w:r>
    </w:p>
    <w:p>
      <w:r>
        <w:t>FR: ATF 123 IV 61</w:t>
      </w:r>
    </w:p>
    <w:p>
      <w:r>
        <w:t>IT: DTF 123 IV 61</w:t>
      </w:r>
    </w:p>
    <w:p>
      <w:pPr>
        <w:pStyle w:val="Heading2"/>
      </w:pPr>
      <w:r>
        <w:t>Regeste</w:t>
      </w:r>
    </w:p>
    <w:p>
      <w:r>
        <w:t>Regeste Art. 251 Ziff. 1 StGB; Falschbeurkundung. Das Erstellen und Vorlegen eines simulierten Vertrages zum Zweck der Erlangung eines Kredits erfüllt den Tatbestand der Falschbeurkundung nicht (E. 5c/cc).</w:t>
      </w:r>
    </w:p>
    <w:p>
      <w:r>
        <w:t>Regeste Art. 251 ch. 1 CP; faux dans les titres. L'établissement et l'utilisation d'un contrat simulé aux fins d'obtenir un crédit ne réalise pas les éléments objectifs du faux intellectuel dans les titres (consid. 5c/cc).</w:t>
      </w:r>
    </w:p>
    <w:p>
      <w:r>
        <w:t>Regesto Art. 251 n. 1 CP; falsità ideologica in documenti. La redazione e l'utilizzazione di un contratto simulato allo scopo di ottenere un credito non realizza gli elementi oggettivi della falsità ideologica in documenti (consid. 5c/cc).</w:t>
      </w:r>
    </w:p>
    <w:p>
      <w:pPr>
        <w:pStyle w:val="Heading2"/>
      </w:pPr>
      <w:r>
        <w:t>Erwägungen</w:t>
      </w:r>
    </w:p>
    <w:p>
      <w:r>
        <w:rPr>
          <w:b/>
        </w:rPr>
        <w:t>E. 3</w:t>
      </w:r>
    </w:p>
    <w:p>
      <w:r>
        <w:t>Die Vorinstanz stellte für das Bundesgericht verbindlich fest ( Art. 277bis Abs. 1 BStP ), A. habe bei der Geschädigten O. AG einen Kredit über Fr. 120'000.-- aufnehmen wollen, wobei weder er noch die (wirtschaftlich ihm gehörende) M. AG über Sachwerte zur Sicherung des Darlehens verfügt hätten. A. sei daher auf die Idee verfallen, den Verkauf eines Lastwagens zu fingieren, um auf diese Weise seine angebliche Zahlungsfähigkeit unter Beweis zu stellen bzw. den Anschein zu erwecken, er verfüge über ein Pfand. In der Meinung, A. werde ihm später seinen Lastwagen tatsächlich abkaufen, habe sich der Beschwerdeführer zur Mitwirkung bei dem fingierten Geschäft bereit erklärt und durch seine Ehefrau nach seinen Angaben einen in der Folge von ihm und A. unterzeichneten Kaufvertrag mit Datum vom 26. Februar 1993 schreiben lassen. Nach diesem Vertrag habe er von der M. AG den in Wirklichkeit ihm selbst gehörenden Dreiachs-Kipp-Lastwagen IVECO 260-30 H zum Preis von Fr. 106'000.--, zahlbar bis Ende März 1993, gekauft. Gleichzeitig habe A. in einem separaten Schriftstück vom selben Datum dem Beschwerdeführer die Ungültigkeit dieses Kaufvertrages bestätigt und erklärt, die M. AG benötige den Kaufvertrag lediglich für eine interne Überbrückungsfinanzierung. Unter Verwendung dieses Kaufvertrags sowie einer Kopie des annullierten Fahrzeugausweises habe A. erwirkt, dass die O. AG ihm ein persönliches Darlehen von BGE 123 IV 61 S. 63 insgesamt Fr. 120'000.-- unter gleichzeitiger Inanspruchnahme des Lastwagens als Pfand gewährt habe.</w:t>
      </w:r>
    </w:p>
    <w:p>
      <w:r>
        <w:rPr>
          <w:b/>
        </w:rPr>
        <w:t>E. 4</w:t>
      </w:r>
    </w:p>
    <w:p>
      <w:r>
        <w:t>Der Beschwerdeführer wendet sich gegen den Schuldspruch der Falschbeurkundung. Die Vorinstanz nahm an, im fraglichen Kaufvertrag figurierten die M. AG als Verkäuferin und der Beschwerdeführer als Käufer des Lastwagens, obwohl das Fahrzeug in Wahrheit bereits dem Beschwerdeführer gehört habe und A. bzw. die M. AG nie dessen Besitzer oder Eigentümer gewesen seien. Aufgrund dieses Vertrages habe ein Dritter annehmen können, die M. AG habe am 26. Februar 1993 (Zeitpunkt des Vertragsabschlusses) über einen Lastwagen als Sachwert bzw. nach diesem Datum über eine entsprechende Forderung im Betrag von Fr. 106'000.-- verfügt. Anders als in BGE 120 IV 29 habe dieser Kaufvertrag aus einem einzigen Schriftstück und nicht aus Offerten und entsprechenden Bestellungen bestanden. Die erhöhte Glaubwürdigkeit des Schriftstücks ergebe sich daraus, dass als Käufer ein gewerbsmässiger Nutzfahrzeughändler auftrat, was mit dem Stempel des Beschwerdeführers besonders hervorgehoben worden sei. Ein Dritter dürfe, wenn an einem solchen Kaufgeschäft ein professioneller Händler mitwirke, in der Regel davon ausgehen, dass die aufgrund des Vertragsinhalts als wahr erscheinenden Umstände auch zutreffen. Dass für den fraglichen Kaufvertrag kein vorgedrucktes Formular verwendet und beispielsweise die Gewährleistung nicht wegbedungen oder die Zahlungsmodalitäten nicht festgehalten worden seien, ändere an der erhöhten Glaubwürdigkeit des Kaufvertrages nichts.</w:t>
      </w:r>
    </w:p>
    <w:p>
      <w:r>
        <w:rPr>
          <w:b/>
        </w:rPr>
        <w:t>E. 5</w:t>
      </w:r>
    </w:p>
    <w:p>
      <w:r>
        <w:t>a) Die Tatbestände des Urkundenstrafrechts schützen das Vertrauen, welches im Rechtsverkehr einer Urkunde als einem Beweismittel entgegengebracht wird. Mittel zum Beweis kann nur sein, was generell geeignet ist, Beweis zu erbringen. Als Urkunden gelten deshalb unter anderem nur Schriften, die bestimmt und geeignet sind, eine Tatsache von rechtlicher Bedeutung zu beweisen ( Art. 110 Ziff. 5 Abs. 1 StGB ; BGE 117 IV 35 E. 1a mit Hinweisen; BGE 101 IV 279 ). Der Urkundencharakter eines Schriftstücks ist relativ. Es kann mit Bezug auf bestimmte Aspekte Urkundencharakter haben, mit Bezug auf andere nicht. So können Rechnungen unabhängig davon, ob sie inhaltlich richtig sind, Urkunden für den Beweis der Tatsache darstellen, dass die entsprechende Erklärung durch den Rechnungssteller abgegeben worden ist. An solchen Rechnungen können deshalb prinzipiell Urkundendelikte begangen werden, etwa durch ihre unzulässige Veränderung (Urkundenfälschung) oder, je BGE 123 IV 61 S. 64 nach den Umständen, durch ihre Beseitigung (Urkundenunterdrükkung). Nach der Praxis kann sich die Beweisbestimmung eines Schriftstücks einerseits unmittelbar aus dem Gesetz ergeben und andererseits aus dessen Sinn oder Natur abgeleitet werden. Ebenfalls nach Gesetz oder aber nach der Verkehrsübung bestimmt sich, ob und inwieweit einer Schrift Beweiseignung zukommt ( BGE 122 IV 332 E. 2a; 121 IV 131 E. 2c; 120 IV 25 E. 3b und 122 E. 4c; 119 IV 54 E. 2c/aa; 118 IV 254 E. 3; 117 IV 35 E. 1a je mit Hinweisen auf die Lehre und weitere Entscheide). b) Eine Falschbeurkundung begeht sowohl nach der alten wie nach der neuen Fassung von Art. 251 Ziff. 1 StGB , wer eine rechtlich erhebliche Tatsache unrichtig beurkundet oder beurkunden lässt, in der Absicht, jemanden am Vermögen oder an anderen Rechten zu schädigen oder sich oder einem andern einen unrechtmässigen Vorteil zu verschaffen. Derselben Strafdrohung untersteht die Verwendung einer von einem Dritten hergestellten Urkunde dieser Art zur Täuschung. Im Unterschied zur Urkundenfälschung im eigentlichen Sinn, welche das Herstellen einer unechten Urkunde erfasst, deren wirklicher Aussteller mit dem aus ihr ersichtlichen Autor nicht identisch ist, betrifft die Falschbeurkundung die Errichtung einer echten, aber unwahren Urkunde, bei der also der wirkliche und der in der Urkunde enthaltene Sachverhalt nicht übereinstimmen, wobei nach allgemeiner Ansicht die einfache schriftliche Lüge keine Falschbeurkundung darstellt ( BGE 123 IV 17 E. 2b; BGE 122 IV 332 E. 2a mit weiteren Hinweisen; vgl. schon BGE 68 IV 87 E. 2; BGE 75 IV 166 E. 1; im selben Sinn nun auch Art. 23/24 des Gesetzes über die technischen Handelshemmnisse vom 6. Oktober 1995 [THG; SR 946.51]; ferner Botschaft zum THG vom 15. Februar 1995, BBl 1995 II S. 618 f.). Das Vertrauen darauf, dass über die Person des Ausstellers nicht getäuscht wird, ist und darf grösser sein als das Vertrauen, dass jemand nicht in schriftlicher Form lügt. Aus diesem Grund werden an die Beweisbestimmung und Beweiseignung einer Urkunde bei der Falschbeurkundung höhere Anforderungen gestellt. Eine qualifizierte schriftliche Lüge im Sinne der Falschbeurkundung wird deshalb nach der neueren bundesgerichtlichen Rechtsprechung nur angenommen, wenn der Urkunde eine erhöhte Glaubwürdigkeit zukommt. Dies ist der Fall, wenn allgemeingültige objektive Garantien die Wahrheit der schriftlichen Erklärung gegenüber Dritten gewährleisten und der Adressat deshalb der Erklärung ein besonderes Vertrauen entgegenbringt, so dass eine Überprüfung derselben weder nötig noch zumutbar erscheint. Solche ein besonderes BGE 123 IV 61 S. 65 Vertrauen begründende Garantien können unter anderem etwa in der Prüfungspflicht einer Urkundsperson oder in gesetzlichen Vorschriften liegen, die, wie etwa die Bilanzvorschriften der Art. 958 ff. OR , gerade den Inhalt bestimmter Schriftstücke näher festlegen. Hingegen genügen blosse Erfahrungsregeln hinsichtlich der Glaubwürdigkeit irgendwelcher schriftlicher Äusserungen nicht, mögen sie auch zur Folge haben, dass sich der Geschäftsverkehr in gewissem Umfang auf entsprechende Angaben verlässt. Die Grenze zwischen Falschbeurkundung und schriftlicher Lüge muss für jeden Einzelfall unter Berücksichtigung der konkreten Umstände gezogen werden und ist zum Teil mit erheblichen Schwierigkeiten verbunden, die jedoch unumgänglich sind und darin begründet liegen, dass das Gesetz nicht eindeutig regelt, wann noch eine straflose und wann eine strafbare schriftliche Lüge vorliegt ( BGE 122 IV 25 E. 2a und 332 E. 2b; 121 IV 131 E. 2c; 120 IV 122 E. 4c je mit weiteren Hinweisen). In seiner neueren Rechtsprechung verneinte das Bundesgericht eine Falschbeurkundung beim Inrechnungstellen von nicht ausgeführten Arbeiten ( BGE 117 IV 35 E. 2), beim Erstellen von inhaltlich unwahren Regierapporten ( BGE 117 IV 165 E. 2c), bei der Ausstellung von Lohnabrechnungen auf den Namen einer Person, die nicht mit dem wirklichen Arbeitnehmer identisch war ( BGE 118 IV 363 E. 2b), bei der Errichtung einer inhaltlich falschen Vertragsurkunde, ohne dass besondere Garantien bestanden, dass die beiden übereinstimmend abgegebenen Erklärungen dem wirklichen Willen der Vertragsparteien entsprachen ( BGE 120 IV 25 E. 3f) und beim Ausstellen einer fiktiven Rechnung mit dazugehöriger Quittung ( BGE 121 IV 131 E. 2c). Umgekehrt bejahte das Bundesgericht den Tatbestand der Falschbeurkundung im Falle der falschen Buchführung einer Aktiengesellschaft durch die unrichtige Verbuchung von Vergünstigungen und Ausgaben privater Art als geschäftsbedingte Auslagen sowie durch die Verbuchung von Lohnzahlungen auf einem sachfremden Aufwandkonto ( BGE 122 IV 25 E. 2b und c), ferner im Falle der Erstellung eines unrichtigen Protokolls einer Generalversammlung ( BGE 120 IV 199 E. 3c) sowie der Herausgabe eines freiwillig herausgegebenen Emissionsprospekts anlässlich der Kapitalerhöhung einer Aktiengesellschaft nach dem Verfahren der Simultangründung ( BGE 120 IV 122 E. 4 d/bb). Falschbeurkundung nahm das Bundesgericht auch an bei einem Grossisten, der afrikanisches Antilopenfleisch als europäisches Wildfleisch deklariert hatte (BGE 119 IV BGE 123 IV 61 S. 66 289 E. 4c), bei einem bauleitenden Architekten, der die Pflicht zur ordnungsgemässen Prüfung der Schlussabrechnung übernommen und überhöhte Rechnungen der Unternehmer geprüft und schriftlich genehmigt hatte ( BGE 119 IV 54 E. 2d), sowie bei einem Arzt, der einen unrichtigen Krankenschein erstellt und damit gegenüber der Krankenkasse Leistungen für sich oder für den Patienten geltend gemacht hatte ( BGE 117 IV 169 f. unter Hinweis auf BGE 103 IV 184 ). Schliesslich erfüllt nach einem neueren Entscheid auch das zum Zwecke der Täuschung von Strafverfolgungsbehörden vorgenommene Rückdatieren von Vollmachtsurkunden den Tatbestand der Falschbeurkundung ( BGE 122 IV 332 E. 2c). c) aa) Der Beschwerdeführer stellt zunächst in Frage, ob der Kaufvertrag überhaupt geeignet gewesen sei, das Eigentum am Lastwagen zu beweisen. Nach den verbindlichen Feststellungen der Vorinstanz war der Vertrag jedoch nicht derart dilettantisch und unprofessionell abgefasst, dass die Geschädigte sofort hätte Verdacht schöpfen müssen, so dass die Beweiseignung grundsätzlich ohne weiteres bejaht werden kann. Soweit der Beschwerdeführer geltend macht, der Kaufvertrag sei schon in grundsätzlicher Hinsicht nicht zum Beweis dafür geeignet, dass die M. AG ihm den Lastwagen verkauft habe und somit Eigentümerin desselben gewesen sei, und ihm von daher kein Urkundencharakter zukomme, erweist sich seine Beschwerde somit als unbegründet. Indes ist damit noch nichts darüber gesagt, ob dem Vertrag in der konkreten Konstellation des Falles Urkundenqualität zukommt, denn nach der Rechtsprechung ist der Urkundencharakter eines Schriftstücks relativ und werden an Beweiseignung und Beweisbestimmung im Rahmen der Falschbeurkundung höhere Anforderungen gestellt (vgl. E. 5a und b). Dass der Vertrag auch zum Beweis bestimmt war, kann sodann entgegen der Auffassung des Beschwerdeführers nicht ernsthaft in Frage stehen, da er eigens deswegen erstellt worden ist, um der Geschädigten eine Sicherheit für das erstrebte Darlehen vorzutäuschen. Deshalb ist im vorliegenden Zusammenhang ohne Bedeutung, dass der Vertrag hinsichtlich des Eigentums am Lastwagen nichts Unwahres beweisen konnte, weil dieser auch in Wirklichkeit dem Beschwerdeführer gehörte. Der Vertrag war offensichtlich dazu bestimmt, gegenüber der Geschädigten Beweis über die Vermögensverhältnisse von A. bzw. dessen Firma zu erbringen und nicht über das Eigentum des Beschwerdeführers. Ob er hiezu unter den konkreten Umständen auch geeignet war, ist nachfolgend zu prüfen. bb) Das Vertrauen des Rechtsverkehrs in die Wahrheit einer in BGE 123 IV 61 S. 67 einem Schriftstück verkörperten Erklärung geniesst nach der Rechtsprechung nur dann strafrechtlichen Schutz gemäss Art. 251 Ziff. 1 StGB , wenn der Urkunde erhöhte Glaubwürdigkeit zukommt (vgl. E. 5b). Nach Auffassung der Vorinstanz soll sich im zu beurteilenden Fall diese erhöhte Glaubwürdigkeit des Kaufvertrags daraus ergeben, dass am Kaufgeschäft ein professioneller Nutzfahrzeughändler mitgewirkt hat. In einem solchen Fall dürfe ein Dritter in der Regel annehmen, die aufgrund des Vertragsinhalts als wahr erscheinenden Umstände träfen tatsächlich zu. Dies wird vom Beschwerdeführer zu Recht beanstandet. Zwar ist in der neueren Rechtsprechung verschiedentlich erkannt worden, auch die besondere Stellung des Ausstellers vermöge die inhaltliche Richtigkeit einer Erklärung objektiv zu gewährleisten (vgl. BGE 121 IV 131 E. 2c, S. 135 f.), doch betrifft dies ausschliesslich Konstellationen, bei denen der Erklärung des Ausstellers aufgrund objektiver Umstände eine erhöhte Glaubwürdigkeit beigemessen wird. Dies trifft nach der Rechtsprechung etwa zu auf den als Vermögensverwalter tätigen leitenden Angestellten einer Bank im Verhältnis zu seinen von ihm betreuten Kunden, insbesondere wegen der besonderen Gesetzgebung und spezifischen Kontrollen, denen Bankinstitute unterworfen sind ( BGE 120 IV 361 E. 2c), sowie auf den Grossisten, der schon auf der Grosshandelsstufe gesetzlich verpflichtet ist, zum Schutze der Konsumenten Wildfleisch korrekt zu deklarieren ( BGE 119 IV 289 E. 4c). Dasselbe gilt aufgrund der SIA-Norm 118, Art. 153-156, für den mit der Prüfung der Schlussabrechnung betrauten Architekten in bezug auf das Vermögen des Bauherrn ( BGE 119 IV 54 E. 2d/dd) und den Arzt aufgrund seines besonderen Vertrauensverhältnisses gegenüber der Krankenkasse ( BGE 117 IV 169 f. unter Hinweis auf BGE 103 IV 184 ). Im blossen Umstand, dass der Beschwerdeführer gewerbsmässig mit Nutzfahrzeugen Handel treibt, liegen demgegenüber keine objektiven Garantien, die seinen schriftlichen Erklärungen erhöhte Glaubwürdigkeit zu verleihen vermöchten. Insbesondere trifft den Nutzfahrzeughändler, wie der Beschwerdeführer zu Recht einwendet, keine gesetzliche Pflicht zur korrekten Deklarierung der Ware und kommt ihm im Verhältnis zur Geschädigten als Kreditgeberin, die sich offenbar gewerbsmässig u.a. mit Finanzierungen befasst, auch keine besondere Vertrauensstellung zu. Diese hatte somit keinen objektiven Anlass, der Erklärung des Beschwerdeführers ein besonderes Vertrauen entgegenzubringen, welches eine Überprüfung hätte als entbehrlich erscheinen lassen. Dies gilt jedenfalls, soweit im BGE 123 IV 61 S. 68 Rahmen der Urkundendelikte der Schutz des Rechtsverkehrs in Frage steht. Der Beschwerdeführer erscheint daher bloss als einfacher Vertragspartner von A.. Etwas anderes ergibt sich auch nicht daraus, dass der Beschwerdeführer im Verhältnis zwischen A. und der Geschädigten als eine am Kreditgeschäft unbeteiligte Drittperson erscheint (vgl. hiezu BERNARD CORBOZ, Le faux dans les titres, ZBJV 131/1995, S. 575; PIERRE FERRARI, La constatation fausse - le mensonge écrit, ZStR 112/1994, S. 167 f.). Denn im Vordergrund steht im vorliegenden Fall die in der Präsentation des Kaufvertrages liegende falsche Erklärung von A., dem Beschwerdeführer einen Lastwagen verkauft zu haben, welche impliziert, es stehe ihm eine Forderung zu, die den begehrten Kredit in gewissem Umfang hätte absichern können. In diesem Kontext erlangt die Unterzeichnung des simulierten Vertrages durch den Beschwerdeführer für die Geschädigte als Adressatin keine eigenständige besondere Glaubwürdigkeit. Dem Beschwerdeführer kommt daher in dieser Hinsicht keine besondere Vertrauensstellung zu (BGE 122 IV E. 2c). Selbst wenn im übrigen der Geschäftsverkehr in gewissem Umfang auf die Angaben bzw. den Vertrag eines professionellen Händlers abstellen würde, liesse sich daraus keine erhöhte Glaubwürdigkeit der Urkunde ableiten, da dies allein für die Falschbeurkundung nach der Rechtsprechung nicht genügt. cc) Zu prüfen ist schliesslich, ob dem simulierten schriftlichen Vertrag als solchem erhöhte Glaubwürdigkeit zukommt. Ein simuliertes Rechtsgeschäft im Sinne von Art. 18 OR liegt vor, wenn beide Parteien darüber einig sind, dass die gegenseitigen Erklärungen nicht ihrem Willen entsprechende Rechtswirkungen haben sollen, weil sie entweder ein Vertragsverhältnis vortäuschen oder mit dem Scheingeschäft einen wirklich beabsichtigten Vertrag verdecken wollen ( BGE 112 II 337 E. 4a mit Hinweisen). Der simulierte Vertrag ist sowohl zwischen den Parteien als auch im Verhältnis zu Dritten (mit gewissen Einschränkungen) unwirksam (GAUCH/SCHLUEP, Schweizerisches Obligationenrecht, Allg. Teil, 6. Aufl. 1995, Bd. I, N. 1019 und 1022). Nach der neueren Rechtsprechung beweist eine einfachschriftliche Vertragsurkunde, dass zwei Personen übereinstimmend eine bestimmte Willenserklärung abgegeben haben. Hingegen beweist sie für sich allein nicht, dass die beiden übereinstimmend abgegebenen Erklärungen dem wirklichen Willen der Vertragsparteien entsprechen. Insbesondere beweist sie nicht, dass Willensmängel bei den Vertragsparteien auszuschliessen sind und dass keine Simulation vorliegt ( BGE 120 IV 25 E. 3e und f). BGE 123 IV 61 S. 69 Der simulierte Vertrag genügt den im Rahmen der Falschbeurkundung verlangten höheren Anforderungen an die Beweiseignung nicht. Er geniesst daher keine erhöhte Glaubwürdigkeit, und es kommt ihm unter dem Gesichtspunkt der Falschbeurkundung kein Urkundencharakter zu. Denn in einem schriftlichen Vertrag werden nur die von den Parteien abgegebenen Erklärungen verurkundet, nicht aber, dass diese Erklärungen auch tatsächlich dem wirklichen Willen der Vertragspartner entsprechen und diese die Verbindlichkeit seines Inhalts anerkennen (so noch BGE 100 IV 273 E. 4; vgl. JEAN-CLAUDE CHAPPUIS, Le faux intellectuel et la simulation, S. 200 N. 439). In der blossen Unterzeichnung eines Vertrages durch die Vertragsparteien liegt daher keine objektive Garantie, welche dessen inhaltliche Richtigkeit gewährleistet und ein besonderes Vertrauen des Adressaten rechtfertigt. Dies gilt jedenfalls dann, wenn der simulierte Vertrag im Zusammenhang mit dem Antrag auf Gewährung eines Kredits zum Nachweis der Zahlungsfähigkeit des Borgers vorgelegt wird. In diesem Kontext wird man nicht sagen können, der Adressat der Erklärung dürfe - soweit jedenfalls der Schutz des Rechtsverkehrs im Rahmen der Urkundendelikte in Frage steht - aus vernünftigen Gründen auf ihre Wahrheit vertrauen. Dass bei Kreditgeschäften eine Überprüfung derartiger Erklärungen grundsätzlich unzumutbar ist, lässt sich nicht sagen. Dass der Vertrag auch von einem nicht in das Kreditgeschäft involvierten Dritten unterzeichnet worden ist, ändert nichts, solange jedenfalls auch der Antragsteller selbst unterzeichnet und das Dokument vorlegt. Für den Kreditgeber muss bei dieser Sachlage die Präsentation des Vertrags in erster Linie als Erklärung des Borgers erscheinen. Unter diesen Umständen ist die Vorlegung des simulierten Kaufvertrages gegenüber der Geschädigten eine blosse schriftliche Lüge. Die Tatsache, dass im zu beurteilenden Fall im Gegensatz zu BGE 120 IV 25 E. 2e eine aus einem einzigen Schriftstück bestehende Vertragsurkunde vorlag, ändert an diesem Ergebnis nichts. Damit erfüllt das Erstellen und Vorlegen eines simulierten Vertrages zum Zweck der Erlangung eines Kredits den Tatbestand der Falschbeurkundung nicht. Dies bedeutet jedoch nicht, dass der Sachverhalt nicht unter Betrugsgesichtspunkten von Bedeutung sein kann ( BGE 120 IV 14 E. 2b). Der Verurteilung wegen Falschbeurkundung verletzt aber Bundesrecht, und die Beschwerde erweist sich in diesem Punkt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