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254</w:t>
      </w:r>
    </w:p>
    <w:p>
      <w:r>
        <w:t>Bundesgericht (BGE), 1997-01-01, FR</w:t>
      </w:r>
    </w:p>
    <w:p>
      <w:r>
        <w:rPr>
          <w:b/>
        </w:rPr>
        <w:t xml:space="preserve">Quelle: </w:t>
      </w:r>
      <w:r>
        <w:t>https://mcp.opencaselaw.ch/entscheid/bge_BGE_123_IV_254</w:t>
      </w:r>
    </w:p>
    <w:p>
      <w:r>
        <w:t>FR: ATF 123 IV 254</w:t>
      </w:r>
    </w:p>
    <w:p>
      <w:r>
        <w:t>IT: DTF 123 IV 254</w:t>
      </w:r>
    </w:p>
    <w:p>
      <w:pPr>
        <w:pStyle w:val="Heading2"/>
      </w:pPr>
      <w:r>
        <w:t>Regeste</w:t>
      </w:r>
    </w:p>
    <w:p>
      <w:r>
        <w:t>Regeste Art. 270 Abs. 1 BStP; Legitimation des Geschädigten zur eidgenössischen Nichtigkeitsbeschwerde; Begründungspflicht. Nichteintreten auf die Nichtigkeitsbeschwerde gegen einen Einstellungsbeschluss, da die Beschwerdeführer darin nicht darlegen, welche Zivilforderungen sie gegen die Beschuldigten geltend machen wollen und inwiefern sich der angefochtene Entscheid negativ auf die Beurteilung dieser Zivilforderungen auswirken kann.</w:t>
      </w:r>
    </w:p>
    <w:p>
      <w:r>
        <w:t>Regeste Art. 270 al. 1 PPF; qualité du lésé pour se pourvoir en nullité; obligation de motiver. Irrecevabilité d'un pourvoi contre une ordonnance de classement, dans lequel les recourants n'exposent pas quelles conclusions civiles ils seraient actuellement en mesure de prendre contre les personnes visées par leur plainte, ni en quoi la décision attaquée pourrait avoir un effet négatif sur le jugement de ces prétentions.</w:t>
      </w:r>
    </w:p>
    <w:p>
      <w:r>
        <w:t>Regesto Art. 270 cpv. 1 PP; legittimazione del danneggiato a proporre ricorso per cassazione; obbligo di motivare. Inammissibilità di un ricorso per cassazione contro un decreto di non luogo a procedere, poiché i ricorrenti omettono di spiegare quali pretese civili essi intendono far valere contro i denunciati e in che misura la decisione impugnata può influenzare negativamente il giudizio in merito a tali pretese.</w:t>
      </w:r>
    </w:p>
    <w:p>
      <w:pPr>
        <w:pStyle w:val="Heading2"/>
      </w:pPr>
      <w:r>
        <w:t>Erwägungen</w:t>
      </w:r>
    </w:p>
    <w:p>
      <w:r>
        <w:rPr>
          <w:b/>
        </w:rPr>
        <w:t>E. 1</w:t>
      </w:r>
    </w:p>
    <w:p>
      <w:r>
        <w:t>Les recourants, qui n'invoquent que le secret de leurs affaires et des intérêts patrimoniaux, ne sont pas des victimes au sens de l'art. 2 de la loi fédérale sur l'aide aux victimes d'infractions (LAVI [RS 312.5]). Leur qualité pour se pourvoir en nullité ne peut donc pas se fonder sur l' art. 8 al. 1 let . c LAVI, mais exclusivement sur l' art. 270 al. 1 PPF (cf. ATF 120 IV 44 consid. 2a et b p. 49). Selon cette disposition, le lésé peut se pourvoir en nullité, entre autres conditions, dans la mesure où la sentence attaquée peut avoir un effet négatif sur le jugement de ses prétentions civiles (cf. ATF 120 IV 38 consid. 2c p. 41; ATF 119 IV 339 consid. 1d/cc p. 343). BGE 123 IV 254 S. 256 Certes, on ne saurait reprocher aux recourants de ne pas avoir pris de conclusions civiles sur le fond, puisque la procédure n'a pas été menée jusqu'à un stade qui aurait permis de le faire ( ATF 122 IV 139 consid. 1 p. 141; 120 IV 44 consid. 4a p. 52 s., 90 consid. 1a/aa p. 92, 94 consid. 1a/aa p. 95, 154 consid. 3a/aa p. 157). Il leur incombait cependant, en pareil cas, d'indiquer dans leur mémoire quelle prétention civile ils entendaient faire valoir et en quoi la décision attaquée pouvait avoir une influence négative sur le jugement de celle-ci ( ATF 122 IV 139 consid. 1 p. 141; ATF 120 IV 44 consid. 8 p. 57; 119 IV 339 consid. 1d/cc p. 343 s.). En l'espèce, les recourants n'indiquent en rien quelles sont les conclusions civiles qu'ils seraient actuellement en mesure de prendre contre les personnes visées par leur plainte. Ils parlent de perquisitions opérées par le fisc allemand, mais ils n'expliquent pas quel dommage en résulterait dont ils puissent demander réparation aux responsables de la banque en Suisse. On peut certes songer à une taxation ou à une amende fiscales, mais les recourants n'en disent rien, de sorte que ces décisions ne sont peut-être même pas intervenues. Il faut rappeler que l'on ne peut prendre en considération ici qu'une prétention civile qui pourrait être invoquée à l'encontre des personnes visées dans le cadre de la procédure pénale par la voie d'une constitution de partie civile ( ATF 122 IV 139 consid. 3b p. 143). Même si des décisions fiscales sont intervenues - ce que les recourants n'allèguent pas -, une taxation fiscale tirerait entièrement son origine de la situation patrimoniale des recourants (revenus et fortune) et une amende tirerait entièrement son origine de la décision qu'auraient prise les recourants eux-mêmes de soustraire des impôts. On ne voit pas sur quelle base juridique les recourants pourraient exiger de la banque (respectivement de ses responsables) qu'elle paye leurs impôts ou une amende pour une soustraction qu'ils ont décidé seuls, simplement parce que la banque ne les aurait pas aidés à dissimuler des preuves. En tout cas, les explications données à ce propos par les recourants sont totalement insuffisantes pour démontrer que la décision attaquée peut avoir un effet négatif sur le jugement de prétentions civiles qu'ils pourraient faire valoir à l'encontre des personnes visées. En conséquence, le pourvoi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