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190</w:t>
      </w:r>
    </w:p>
    <w:p>
      <w:r>
        <w:t>Bundesgericht (BGE), 1997-01-01, FR</w:t>
      </w:r>
    </w:p>
    <w:p>
      <w:r>
        <w:rPr>
          <w:b/>
        </w:rPr>
        <w:t xml:space="preserve">Quelle: </w:t>
      </w:r>
      <w:r>
        <w:t>https://mcp.opencaselaw.ch/entscheid/bge_BGE_123_IV_190</w:t>
      </w:r>
    </w:p>
    <w:p>
      <w:r>
        <w:t>FR: ATF 123 IV 190</w:t>
      </w:r>
    </w:p>
    <w:p>
      <w:r>
        <w:t>IT: DTF 123 IV 190</w:t>
      </w:r>
    </w:p>
    <w:p>
      <w:pPr>
        <w:pStyle w:val="Heading2"/>
      </w:pPr>
      <w:r>
        <w:t>Regeste</w:t>
      </w:r>
    </w:p>
    <w:p>
      <w:r>
        <w:t>Regeste Art. 270 Abs. 1 BStP; Legitimation des Geschädigten zur eidgenössischen Nichtigkeitsbeschwerde. Ein Einstellungsbeschluss kann sich nur dann negativ auf die Beurteilung einer Zivilforderung auswirken, wenn eine solche Forderung besteht. Wer keinen Schaden erlitten hat, hat keine Schadenersatzforderung (E. 1). Der Geschädigte muss in der Nichtigkeitsbeschwerde in rechtsgenüglicher Weise darlegen, welche Zivilforderung er im Strafverfahren geltend machen wollte (E. 1).</w:t>
      </w:r>
    </w:p>
    <w:p>
      <w:r>
        <w:t>Regeste Art. 270 al. 1 PPF; qualité du lésé pour se pourvoir en nullité. Une décision de non-lieu ne peut avoir d'influence négative sur le jugement d'une prétention civile que si une telle prétention existe. Celui qui n'a pas subi de préjudice patrimonial n'a pas de prétention civile en dommages-intérêts (consid. 1). Le lésé doit exposer de manière suffisante quelle conclusion civile il pourrait prendre dans le cadre de la procédure pénale (consid. 1).</w:t>
      </w:r>
    </w:p>
    <w:p>
      <w:r>
        <w:t>Regesto Art. 270 cpv. 1 PP; legittimazione del danneggiato a proporre ricorso per cassazione. Un decreto di non luogo a procedere può influenzare negativamente il giudizio in merito ad una pretesa civile solo qualora sussista una tale pretesa. Chi non ha subito alcun danno, non dispone di alcuna pretesa di risarcimento (consid. 1). Il danneggiato deve spiegare in modo sufficiente quale pretesa civile egli potrebbe far valere nell'ambito del procedimento penale (consid. 1).</w:t>
      </w:r>
    </w:p>
    <w:p>
      <w:pPr>
        <w:pStyle w:val="Heading2"/>
      </w:pPr>
      <w:r>
        <w:t>Erwägungen</w:t>
      </w:r>
    </w:p>
    <w:p>
      <w:r>
        <w:rPr>
          <w:b/>
        </w:rPr>
        <w:t>E. 1</w:t>
      </w:r>
    </w:p>
    <w:p>
      <w:r>
        <w:t>Le recourant, qui n'invoque que le secret de ses affaires et ses intérêts patrimoniaux, n'est pas une victime au sens de l' art. 2 LAVI (RS 312.5). Sa qualité pour se pourvoir en nullité ne peut donc pas se fonder sur l' art. 8 al. 1 let . c LAVI, mais exclusivement sur l' art. 270 al. 1 PPF (cf. ATF 120 IV 44 consid. 2a et b p. 49). Selon cette disposition, le lésé peut se pourvoir en nullité, entre autres conditions, dans la mesure où la sentence attaquée peut avoir un effet négatif sur le jugement de ses prétentions civiles (cf. ATF 120 IV 38 consid. 2c p. 41; ATF 119 IV 339 consid. 1d/cc p. 343). Certes, on ne saurait reprocher au recourant de ne pas avoir pris de conclusions civiles sur le fond, puisque la procédure n'a pas été menée jusqu'à un stade qui aurait permis de le faire ( ATF 122 IV 139 consid. 1 p. 141; ATF 120 IV 44 consid. 4a p. 52, 90 consid. 1a/aa p. 92, 94 consid. 1a/aa p. 95, 154 consid. 3a/aa p. 157). Il lui incombait cependant, en pareil cas, d'indiquer dans son mémoire quelle prétention civile il entendait faire valoir et en quoi la décision attaquée pouvait avoir une influence négative sur le jugement de celle-ci ( ATF 122 IV 139 consid. 1 p. 141; ATF 120 IV 44 consid. 8 p. 57; ATF 119 IV 339 consid. 1d/cc p. 344). En l'espèce, le recourant parle d'une action en dommages-intérêts. On ne voit cependant pas en quoi les révélations dont il se plaint lui auraient causé un préjudice patrimonial. Il ne l'explique en tout cas d'aucune façon. En l'absence de dommages, il ne peut avoir aucune prétention en dommages-intérêts, de sorte que la décision attaquée ne peut pas avoir d'influence négative sur une prétention qui n'existe pas (cf. ATF 121 IV 317 consid. 3a p. 323 s.). Le recourant parle aussi d'une action en cessation du trouble, mais on ne parvient pas à discerner de quoi il s'agit. Aucune action en justice ne peut faire en sorte que les personnes qui ont eu connaissance des renseignements les oublient. Quant au risque d'une propagation des renseignements, le recourant ne l'évoque même pas et ne l'explique en aucune manière. Il faut d'ailleurs rappeler que les juges et les greffiers sont tenus au secret de fonction ( art. 320 CP ), tandis que les avocats des parties sont tenus au secret professionnel BGE 123 IV 190 S. 192 ( art. 321 CP ). On ne voit pas quelle action civile pourrait utilement renforcer le devoir de se taire qui est déjà garanti par des dispositions pénales. Il reste le risque - non évoqué par le recourant - que d'autres juges ou greffiers puissent prendre connaissance des informations si l'affaire est portée ensuite devant une juridiction supérieure. Il ne s'agit cependant que d'un risque futur et hypothétique. Le recourant n'expose en tout cas pas de manière suffisante quelle conclusion civile il pourrait actuellement prendre dans le cadre de l'action pénale, de sorte que l'on ne voit pas en quoi la décision attaquée pourrait avoir une influence négative sur le jugement d'une prétention civile. Une des conditions de la qualité pour recourir faisant défaut, le pourvoi doit être déclaré irrecevable.</w:t>
      </w:r>
    </w:p>
    <w:p>
      <w:r>
        <w:rPr>
          <w:b/>
        </w:rPr>
        <w:t>E. 2</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