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150</w:t>
      </w:r>
    </w:p>
    <w:p>
      <w:r>
        <w:t>Bundesgericht (BGE), 1997-01-01, FR</w:t>
      </w:r>
    </w:p>
    <w:p>
      <w:r>
        <w:rPr>
          <w:b/>
        </w:rPr>
        <w:t xml:space="preserve">Quelle: </w:t>
      </w:r>
      <w:r>
        <w:t>https://mcp.opencaselaw.ch/entscheid/bge_BGE_123_IV_150</w:t>
      </w:r>
    </w:p>
    <w:p>
      <w:r>
        <w:t>FR: ATF 123 IV 150</w:t>
      </w:r>
    </w:p>
    <w:p>
      <w:r>
        <w:t>IT: DTF 123 IV 150</w:t>
      </w:r>
    </w:p>
    <w:p>
      <w:pPr>
        <w:pStyle w:val="Heading2"/>
      </w:pPr>
      <w:r>
        <w:t>Regeste</w:t>
      </w:r>
    </w:p>
    <w:p>
      <w:r>
        <w:t>Regeste Art. 63 StGB, Strafzumessung. Der Grundsatz der Individualisierung führt im Bereich der Strafzumessung zu einer gewissen, vom Gesetzgeber beabsichtigten Ungleichheit. Sie reicht für sich allein nicht aus, um einen Ermessensmissbrauch anzunehmen. Es ist nicht Sache des Bundesgerichts, für eine peinlich genaue übereinstimmung einzelner Strafmasse zu sorgen; es hat nur darüber zu wachen, dass das Bundesrecht korrekt angewandt wird, d.h. dass die Strafe festgesetzt wird innerhalb des gesetzlichen Strafrahmens, einzig gestützt auf die in Art. 63 StGB vorgesehenen Beurteilungsmerkmale und ohne dass der Richter das ihm zustehende Ermessen missbraucht (E. 2a).</w:t>
      </w:r>
    </w:p>
    <w:p>
      <w:r>
        <w:t>Regeste Art. 63 CP, quotité de la peine. Une certaine disparité dans le domaine de la fixation de la peine s'explique normalement par le principe de l'individualisation voulu par le législateur. Elle ne suffit pas en elle-même pour conclure à un abus du pouvoir d'appréciation. Il n'appartient pas à la Cour de cassation du Tribunal fédéral d'assurer une cohérence scrupuleuse des peines entre elles mais uniquement de veiller à une application correcte du droit fédéral, ce qui suppose que la sanction ait été fixée dans le cadre légal, en se fondant sur les critères prévus par l'art. 63 CP, et uniquement sur ceux-là, sans que le juge abuse de son pouvoir d'appréciation (consid. 2a).</w:t>
      </w:r>
    </w:p>
    <w:p>
      <w:r>
        <w:t>Regesto Art. 63 CP, commisurazione della pena. Una certa disuguaglianza nell'ambito della commisurazione della pena si spiega normalmente con il principio dell'individualizzazione, voluto dal legislatore. Tale disuguaglianza non è di per sé sufficiente per far ammettere la sussistenza di un abuso del potere d'apprezzamento. Non spetta alla Corte di cassazione penale del Tribunale federale di vegliare a che le singole pene corrispondano tra loro scrupolosamente; essa deve bensì unicamente badare a che il diritto federale sia applicato in modo corretto, ciò che presuppone che la pena sia stata fissata conformemente al quadro legale, fondandosi solo sui criteri previsti dall'art. 63 CP, senza che il giudice abbia abusato del suo potere d'apprezzamento (consid. 2a).</w:t>
      </w:r>
    </w:p>
    <w:p>
      <w:pPr>
        <w:pStyle w:val="Heading2"/>
      </w:pPr>
      <w:r>
        <w:t>Erwägungen</w:t>
      </w:r>
    </w:p>
    <w:p>
      <w:r>
        <w:rPr>
          <w:b/>
        </w:rPr>
        <w:t>E. 1</w:t>
      </w:r>
    </w:p>
    <w:p>
      <w:r>
        <w:t>(Recevabilité).</w:t>
      </w:r>
    </w:p>
    <w:p>
      <w:r>
        <w:rPr>
          <w:b/>
        </w:rPr>
        <w:t>E. 2</w:t>
      </w:r>
    </w:p>
    <w:p>
      <w:r>
        <w:t>a) Invoquant une violation de l' art. 63 CP , le recourant soutient que les peines infligées sont exagérément clémentes. Tout en exigeant que la peine soit fondée sur la faute, l' art. 63 CP n'énonce pas de manière détaillée et exhaustive les éléments qui doivent être pris en considération, ni les conséquences exactes qu'il faut en tirer quant à la fixation de la peine; cette disposition confère donc au juge un large pouvoir d'appréciation ( ATF 121 IV 193 consid. 2a; ATF 120 IV 136 consid. 3a). Les éléments pertinents pour la fixation de la peine ont été exposés de manière détaillée dans les ATF 117 IV 112 consid. 1 et ATF 116 IV 288 consid. 2a, auxquels on peut se référer. Le pourvoi en nullité à la Cour de cassation pénale du Tribunal fédéral a été conçu en vue d'assurer une application uniforme du droit fédéral par les autorités cantonales de répression (CORBOZ, Le pourvoi en nullité, SJ 1991 p. 61). Cette voie de recours a pour fonction de donner une interprétation uniforme aux notions contenues dans le droit fédéral et de veiller à ce qu'elles soient correctement comprises et appliquées. En revanche, lorsque le droit fédéral lui-même - comme c'est le cas pour la fixation de la peine - accorde un large pouvoir d'appréciation au juge, en vue d'individualiser la décision en fonction des circonstances concrètes du cas d'espèce, il ne s'agit précisément pas d'uniformiser et le juge ne viole pas le droit fédéral en faisant usage de la marge de manoeuvre que celui-ci BGE 123 IV 150 S. 153 lui accorde. Il n'appartient pas à la Cour de cassation pénale du Tribunal fédéral, saisie systématiquement par un Ministère public vigilant, d'assurer une cohérence scrupuleuse des peines entre elles, afin de ramener à une sorte de moyenne toute peine qui s'en écarterait. Un tel système serait contraire au principe de l'individualisation de la peine et supposerait des règles de calcul relativement rigides qui heurteraient la souplesse voulue par le législateur à l' art. 63 CP . Même s'il est vrai que la Cour de cassation examine librement s'il y a eu violation du droit fédéral, elle ne peut donc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122 IV 299 consid. 2a, 241 consid. 1a; ATF 121 IV 193 consid. 2a; ATF 120 IV 136 consid. 3a et les arrêts cités). S'agissant plus précisément de l'abus du pouvoir d'appréciation, il faut relever que la Cour de cassation, qui n'interroge pas elle-même les accusés ou les témoins et n'établit pas les faits, est mal placée pour apprécier l'ensemble des paramètres pertinents pour individualiser la peine; son rôle est au contraire, comme on l'a vu, d'interpréter le droit fédéral et de dégager des critères et des notions qui ont une valeur générale. Elle n'a donc en aucune façon à substituer sa propre appréciation à celle du juge de répression. Elle ne peut intervenir, en considérant le droit fédéral comme violé, que si ce dernier a fait un usage vraiment insoutenable de la marge de manoeuvre que lui accorde le droit fédéral. Les disparités en cette matière s'expliquent normalement par le principe de l'individualisation, voulu par le législateur;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b) En l'espèce, il n'est pas contesté que les peines ont été fixées dans le cadre légal, en suivant les critères fixés par l' art. 63 CP et sans se laisser guider par des considérations étrangères à cette disposition. La seule question litigieuse est de savoir s'il y a eu abus du pouvoir d'appréciation. BGE 123 IV 150 S. 154 L'accusé G., par appât du gain, s'est livré à un intense trafic de stupéfiants, portant sur une quantité de drogue et des sommes considérables. La gravité de sa faute est tempérée par le fait qu'il s'agit d'une drogue dite douce, qu'il n'a pas d'antécédents et que les renseignements recueillis sur son compte sont favorables. Surtout, il a été retenu qu'il avait effectué un redressement remarquable après sa mise en liberté provisoire, de sorte que sa réincarcération pour une longue période pourrait compromettre les efforts méritoires qui ont été constatés. Tenant compte de l'ensemble de ces circonstances, l'autorité cantonale a estimé que la peine adaptée à la faute - en tenant compte de son évolution favorable ( ATF 118 IV 342 consid. 2d) - se situait aux alentours de 18 mois de privation de liberté et qu'il fallait tenir compte des effets de cette limite en fixant la peine; elle est parvenue à la conclusion qu'une peine de 18 mois d'emprisonnement avec sursis pendant 4 ans, cumulée avec une amende de 20'000 fr., constituait une sanction adéquate, pour ne pas ruiner les efforts méritoires de l'intimé. Une telle analyse est conforme à la jurisprudence et ne viole pas le droit fédéral ( ATF 121 IV 97 consid. 2c; ATF 118 IV 337 consid. 2c, 342 consid. 2f). Dans le cas cité par le recourant ( ATF 118 IV 337 ), le comportement n'était certes pas identique, mais la quantité de haschisch était encore plus importante (300 kg) et une peine de 18 mois d'emprisonnement avec sursis n'a pas été jugée inadaptée, compte tenu notamment des antécédents favorables et du repentir manifesté. On ne peut donc pas dire que la peine fixée soit choquante. En ce qui concerne H., il n'a pas été constaté un redressement comparable et il faut tenir compte de la condamnation antérieure. L'autorité cantonale a estimé qu'une peine de 2 ans d'emprisonnement était adéquate et la cour a ajouté que la peine ne devait pas trop s'éloigner de celle sanctionnant G., puisqu'ils se sont associés au même trafic. Il faut dire que la différence entre les deux est encore accentuée, en pratique, par le fait que la peine prononcée à l'égard de H. est une peine ferme qu'il doit purger. L'idée de ne pas créer un écart trop important entre deux coaccusés qui ont participé ensemble au même complexe de faits délictueux est assurément soutenable. On ne peut pas dire que la peine fixée soit choquante. L'autorité cantonale n'a donc pas abusé de son large pouvoir d'appréciation.</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