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w:t>
      </w:r>
    </w:p>
    <w:p>
      <w:r>
        <w:t>Bundesgericht (BGE), 1996-01-01, FR</w:t>
      </w:r>
    </w:p>
    <w:p>
      <w:r>
        <w:rPr>
          <w:b/>
        </w:rPr>
        <w:t xml:space="preserve">Quelle: </w:t>
      </w:r>
      <w:r>
        <w:t>https://mcp.opencaselaw.ch/entscheid/bge_BGE_123_II_5</w:t>
      </w:r>
    </w:p>
    <w:p>
      <w:r>
        <w:t>FR: ATF 123 II 5</w:t>
      </w:r>
    </w:p>
    <w:p>
      <w:r>
        <w:t>IT: DTF 123 II 5</w:t>
      </w:r>
    </w:p>
    <w:p>
      <w:pPr>
        <w:pStyle w:val="Heading2"/>
      </w:pPr>
      <w:r>
        <w:t>Regeste</w:t>
      </w:r>
    </w:p>
    <w:p>
      <w:r>
        <w:t>Regeste Art. 24sexies BV; Art. 2, Art. 12 und Art. 18b NHG; Beschwerdelegitimation im kantonalen Verfahren der gesamtschweizerischen Vereinigungen. Wenn eine Partei geltend macht, sie sei nach Art. 12 NHG zur Beschwerde legitimiert, so hat sie mit einer gewissen Wahrscheinlichkeit darzutun, dass das umstrittene Projekt tatsächlich eine Bundesaufgabe im Sinne der Art. 24sexies BV und 2 NHG berühre (E. 2c).</w:t>
      </w:r>
    </w:p>
    <w:p>
      <w:r>
        <w:t>Regeste Art. 24sexies Cst.; art. 2, art. 12 et art. 18b LPN; qualité pour agir des associations d'importance nationale dans la procédure cantonale. Lorsqu'une partie prétend fonder sa qualité pour agir sur l'art. 12 LPN, il lui incombe d'alléguer, avec une certaine vraisemblance, que le projet contesté touche effectivement à une tâche de la Confédération au sens des art. 24sexies Cst. et 2 LPN (consid. 2c).</w:t>
      </w:r>
    </w:p>
    <w:p>
      <w:r>
        <w:t>Regesto Art. 24sexies Cost.; art. 2, art. 12 e art. 18b LPN; legittimazione delle associazioni di importanza nazionale nella procedura cantonale. Se una parte pretende di essere legittimata a ricorrere in base all'art. 12 LPN, essa deve provare con una certa verosimiglianza, che il progetto contestato rientra effettivamente nei compiti della Confederazione secondo l'art. 24sexies Cost. e 2 LPN (consid. 2c).</w:t>
      </w:r>
    </w:p>
    <w:p>
      <w:pPr>
        <w:pStyle w:val="Heading2"/>
      </w:pPr>
      <w:r>
        <w:t>Erwägungen</w:t>
      </w:r>
    </w:p>
    <w:p>
      <w:r>
        <w:rPr>
          <w:b/>
        </w:rPr>
        <w:t>E. 2</w:t>
      </w:r>
    </w:p>
    <w:p>
      <w:r>
        <w:t>c) Selon la recourante, le plan contesté engloberait un biotope d'importance régionale et locale au sens de l' art. 18b LPN . Elle se prévaut à cet égard d'une brochure qu'elle a publiée et consacrée au coteau valaisan, ainsi que l'étude intitulée "Golf de Tsamarau: Nouveau plan d'intégration nature", établie par le Dr. Philippe Werner en décembre 1994. Le Tribunal cantonal a écarté cette thèse en considérant qu'à la suivre, tout le bocage situé sur le coteau du Valais central devrait être tenu pour un biotope d'importance régionale, ce qui serait déraisonnable. Quant à la commune et à la société intimée, elles relèvent que selon une autre étude établie par le même expert dans le cadre de la révision du plan des zones communal, le secteur en question ne toucherait à aucun biotope. Dans sa détermination du 5 mars 1996, l'Office fédéral relève pour sa part que les surfaces affectées au golf feraient partie d'une zone de "prairies maigres séchardes" et de "prairies eutrophes séchardes" mentionnées dans l'inventaire des prairies valaisannes établi en 1987. En outre, selon l'Office fédéral, les éléments protégés selon les art. 1 al. 1 et 6 al. 4 du règlement correspondraient aux valeurs naturelles visées par l' art. 18 al. 1bis LPN ; il en conclut que le secteur considéré constituerait effectivement un biotope à protéger. Le Conseil d'Etat, la commune et la société intimée contestent cette appréciation. Pour déterminer si l'association est habilitée à recourir au regard de l' art. 12 LPN , l'autorité cantonale doit examiner préalablement si l'objet du litige touche à une tâche fédérale au sens des art. 24sexies Cst. et 2 LPN. Dans l'arrêt X. concernant la commune de Corsier-sur-Vevey, le Tribunal fédéral avait évoqué la possibilité d'admettre la qualité pour agir des associations en vertu de l' art. 12 LPN du seul fait qu'elles invoquent la violation d'une tâche de la Confédération, le point de savoir ce qu'il en est réellement relevant du fond et non de la recevabilité; le Tribunal fédéral avait cependant pu se dispenser de trancher la question ( ATF 116 Ib 203 consid. 3a p. 207/208). A cet égard, il convient de préciser que le simple fait d'affirmer, de manière abstraite, que le projet litigieux concerne une tâche fédérale ne suffit pas. Encore faut-il que la partie qui prétend tirer sa qualité pour agir de l' art. 12 LPN allègue, avec une certaine vraisemblance, que le projet litigieux touche effectivement à l'application du droit matériel de la Confédération. Lorsque son allégué n'est pas entièrement dépourvu de fondement ou que la question soulève une controverse entre les parties, l'autorité saisie ne peut écarter la prétention BGE 123 II 5 S. 8 comme étant manifestement dénuée de sens; elle doit trancher la question préalable en ordonnant au besoin les mesures d'instruction propres à clarifier l'état de fait. En l'occurrence, par un arrêt sommairement motivé, le Tribunal cantonal a refusé d'entrer en matière en excluant d'emblée l'existence d'un biotope dans le périmètre du plan; celui-ci ne touchant dès lors pas, selon le Tribunal cantonal, à l'exécution d'une tâche fédérale, la recourante n'avait pas qualité pour agir au regard de l' art. 12 LPN . Or, sur le vu des éléments dont elle se prévalait, l'argumentation de la recourante sur ce point était suffisamment sérieuse et crédible pour reconnaître, au moins à première vue, l'existence à cet endroit d'un biotope digne de protection en vertu de l' art. 18b LPN . Cela commandait d'admettre la recevabilité du recours et d'entrer en matière. S'il éprouvait un doute à ce sujet, le Tribunal cantonal devait ou bien procéder à une instruction complémentaire - ce qu'il n'a pas fait - ou bien laisser la question indécise pour trancher au fond, à l'instar du Conseil d'Etat. Quoi qu'il en soit, en déniant comme il l'a fait la qualité pour agir de la recourante, le Tribunal cantonal a violé l' art. 12 LPN , mis en relation avec les art. 2 et 18b de la même loi. Le recours doit être admis pour ce seul motif et l'arrêt attaqué annulé. La cause est renvoyée à l'autorité intimée. La qualité pour agir de la recourante devant être admise, il incombera au Tribunal cantonal d'entrer en matière et d'examiner le recours du 3 juillet 1995, après avoir, le cas échéant, complété l'instruction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