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134</w:t>
      </w:r>
    </w:p>
    <w:p>
      <w:r>
        <w:t>Bundesgericht (BGE), 1997-01-01, FR</w:t>
      </w:r>
    </w:p>
    <w:p>
      <w:r>
        <w:rPr>
          <w:b/>
        </w:rPr>
        <w:t xml:space="preserve">Quelle: </w:t>
      </w:r>
      <w:r>
        <w:t>https://mcp.opencaselaw.ch/entscheid/bge_BGE_123_II_134</w:t>
      </w:r>
    </w:p>
    <w:p>
      <w:r>
        <w:t>FR: ATF 123 II 134</w:t>
      </w:r>
    </w:p>
    <w:p>
      <w:r>
        <w:t>IT: DTF 123 II 134</w:t>
      </w:r>
    </w:p>
    <w:p>
      <w:pPr>
        <w:pStyle w:val="Heading2"/>
      </w:pPr>
      <w:r>
        <w:t>Regeste</w:t>
      </w:r>
    </w:p>
    <w:p>
      <w:r>
        <w:t>Regeste Rechtshilfe; EUeR; Europaratsübereinkommen Nr. 141 von 1990 über Geldwäscherei sowie Ermittlung, Beschlagnahme und Einziehung von Erträgen aus Straftaten; Rückerstattung von Erträgen, die aus einer strafbaren Handlung herrühren; Art. 74a IRSG. Zulässigkeit der Verwaltungsgerichtsbeschwerde (E. 1). Im Ausland gestohlene und in der Schweiz verkaufte Sache. Recht, das anwendbar ist, wenn eine Sache - im Hinblick auf deren Rückgabe - an einen ausländischen Staat ausgehändigt werden soll (E. 5). Schutz des Käufers, der seinen guten Glauben glaubhaft macht (E. 6a und b). Beweislast in dieser Frage (E. 6c). Im vorliegenden Fall hat der Käufer seinen guten Glauben nicht glaubhaft gemacht (E. 6d). Bedingungen, unter welchen eine Sache an einen um Rechtshilfe ersuchenden Staat ausgehändigt werden kann. Sowohl das Interesse des internationalen Ordre public am Schutz der Kulturgüter wie auch die für den Schutz der rechtmässigen Interessen des gutgläubigen Besitzers notwendigen Verfahrensgarantien im ersuchenden Staat müssen berücksichtigt werden (E. 7).</w:t>
      </w:r>
    </w:p>
    <w:p>
      <w:r>
        <w:t>Regeste Entraide judiciaire; CEEJ; Convention no 141 du Conseil de l'Europe, de 1990, relative au blanchiment, au dépistage, à la saisie et à la confiscation des produits du crime; remise du produit de l'infraction; art.74a EIMP. Recevabilité du recours de droit administratif (consid. 1). Objet volé à l'étranger et vendu en Suisse. Droit applicable à la remise à un Etat étranger de cet objet, en vue de sa restitution (consid. 5). Protection de l'acquéreur qui rend vraisemblable sa bonne foi (consid. 6a et b). Fardeau de la preuve à cet égard (consid. 6c). En l'occurrence, l'acquéreur n'a pas rendu vraisemblable sa bonne foi (consid. 6d). Conditions de la remise à l'Etat requérant. Prise en considération conjointe de l'ordre public international à la protection des biens culturels et des garanties procédurales nécessaires à la protection, dans l'Etat requérant, des intérêts légitimes du possesseur de bonne foi (consid. 7).</w:t>
      </w:r>
    </w:p>
    <w:p>
      <w:r>
        <w:t>Regesto Assistenza giudiziaria; CEAG; Convenzione n. 141 del Consiglio d'Europa del 1990 sul riciclaggio, la ricerca, il sequestro e la confisca dei proventi di reato; restituzione di proventi di reato; art. 74a AIMP. Ammissibilità del ricorso di diritto amministrativo (consid. 1). Oggetto rubato all'estero e venduto in Svizzera. Diritto applicabile alla consegna di tale oggetto - in vista di una sua restituzione - ad uno Stato estero (consid. 5). Protezione dell'acquirente che rende verosimile la sua buona fede (consid. 6a e b) e relativo onere della prova (consid. 6c). In concreto, l'acquirente non ha reso verosimile la sua buona fede (consid. 6d). Condizioni per la consegna allo Stato richiedente. Obbligo di prendere in considerazione sia l'ordine pubblico internazionale alla protezione dei beni culturali sia le garanzie processuali necessarie alla protezione, nello Stato richiedente, degli interessi legittimi di colui che detiene l'oggetto in buona fede (consid. 7). En août 1994, un tableau de maître, appartenant au dénommé W., a été volé en France. Le 23 novembre 1994, L. l'a acquis à Genève, par l'intermédiaire de X.</w:t>
      </w:r>
    </w:p>
    <w:p>
      <w:pPr>
        <w:pStyle w:val="Heading2"/>
      </w:pPr>
      <w:r>
        <w:t>Erwägungen</w:t>
      </w:r>
    </w:p>
    <w:p>
      <w:r>
        <w:rPr>
          <w:b/>
        </w:rPr>
        <w:t>E. 1</w:t>
      </w:r>
    </w:p>
    <w:p>
      <w:r>
        <w:t>a) La Confédération suisse et la République française sont toutes deux parties à la Convention européenne d'entraide judiciaire en matière pénale (CEEJ; RS 0.351.1), conclue à Strasbourg le 20 avril 1959, entrée en vigueur le 20 mars 1967 pour la Suisse et le 21 août 1967 pour la France. Les dispositions de ce traité l'emportent sur le droit interne qui régit la matière, soit la loi fédérale sur l'entraide internationale en matière pénale, du 20 mars 1981 (EIMP) et son ordonnance d'exécution (OEIMP), qui sont applicables aux questions non réglées explicitement ou implicitement par le droit conventionnel et lorsque le droit interne est plus favorable à l'entraide que la Convention (cf. ATF 122 II 140 consid. 2 p. 142; ATF 120 Ib 120 consid. 1a p. 122/123, 189 consid. 2a p. 191/192; ATF 118 Ib 269 consid. 1a p. 271, et les arrêts cités). Dans la mesure où la demande tend à la remise à l'Etat requérant du tableau volé, il convient d'envisager aussi l'application au cas d'espèce de la Convention no 141 du Conseil de l'Europe, relative au blanchiment, au dépistage, à la saisie et à la confiscation des produits du crime (ci-après: Convention no 141; RS 0.311.53, conclue à Strasbourg le 8 novembre 1990, entrée en vigueur le 1er septembre 1993 pour la Suisse et le 1er février 1997 pour la France). b) La révision de l'EIMP du 4 octobre 1996 et de l'OEIMP du 9 décembre 1996 est entrée en vigueur le 1er février 1997 (RO 1997 p. 114 ss et 132 ss). Conformément à l'art. 110a nEIMP, ces modifications s'appliquent à la présente procédure qui était - entre le prononcé de l'ordonnance attaquée et celui du présent arrêt - pendante au moment de l'entrée en vigueur de la novelle. Le recourant a eu l'occasion, dans sa réplique, de se déterminer sur l'application du nouveau droit au cas d'espèce. c) Le recours, dirigé contre la décision de l'autorité cantonale de dernière instance relative à la clôture de la procédure et à la remise du tableau volé à l'Etat requérant, est recevable au regard de l' art. 80f al. 1 EIMP , mis en relation avec l'art. 25 al. 1 de la même loi. Le recourant, touché personnellement et directement par la mesure de saisie et de remise à l'Etat requérant du tableau dont il se prétend acquéreur de bonne foi, a qualité pour agir au sens de l' art. 80h let. b EIMP . d) Le Tribunal fédéral n'est pas lié par les conclusions des parties ( art. 25 al. 6 EIMP ). Il examine librement si les conditions pour accorder l'entraide sont remplies et dans quelle mesure la collaboration internationale doit être prêtée ( ATF 118 Ib 269 consid. 2e p. 275). Il statue avec une cognition pleine sur les griefs soulevés sans être BGE 123 II 134 S. 137 toutefois tenu, comme le serait une autorité de surveillance, de vérifier d'office la conformité de la décision attaquée à l'ensemble des dispositions applicables en la matière ( ATF 119 Ib 56 consid. 1d p. 59). e) Lorsque, comme en l'espèce, la décision attaquée émane d'une autorité judiciaire, le Tribunal fédéral est lié par les faits constatés dans la décision, sauf s'ils sont manifestement inexacts ou incomplets ou s'ils ont été établis au mépris des règles essentielles de la procédure ( art. 105 al. 2 OJ ). Cette règle s'applique aussi dans le domaine de l'entraide judiciaire ( ATF 113 Ib 257 consid. 3d p. 266; 112 Ib 576 consid. 3 p. 585). En l'occurrence, tels qu'ils sont formulés, les griefs de constatation arbitraire des faits se confondent avec ceux de violation des dispositions légales régissant la remise des objets en vue de leur restitution à l'ayant droit et la protection de l'acquéreur de bonne foi. C'est dans ce cadre qu'ils doivent être examinés.</w:t>
      </w:r>
    </w:p>
    <w:p>
      <w:r>
        <w:rPr>
          <w:b/>
        </w:rPr>
        <w:t>E. 5</w:t>
      </w:r>
    </w:p>
    <w:p>
      <w:r>
        <w:t>Les prétentions élevées par un ayant droit sur des objets ou valeurs au sens du 4ème alinéa entraînent la suspension de leur remise à l'Etat requérant jusqu'à droit connu. Les objets ou valeurs litigieux ne sont délivrés à l'ayant droit que: a. Si l'Etat requérant y consent; b. Si, dans le cas du 4ème alinéa, lettre b, l'autorité y consent ou c. Si le bien-fondé de la prétention est reconnu par une autorité judiciaire suisse.</w:t>
      </w:r>
    </w:p>
    <w:p>
      <w:r>
        <w:rPr>
          <w:b/>
        </w:rPr>
        <w:t>E. 6</w:t>
      </w:r>
    </w:p>
    <w:p>
      <w:r>
        <w:t>Pour la Chambre d'accusation, le recourant n'aurait pas rendu vraisemblable la thèse selon laquelle il aurait acquis de bonne foi le tableau litigieux. Elle a considéré qu'au moment de l'achat, le recourant, homme rompu aux affaires et connaisseur d'art, ne s'était soucié ni de l'authenticité, ni de la provenance du tableau; en outre, le recourant avait pris le risque de traiter avec des inconnus et ne s'était assuré de la régularité de l'importation du tableau en Suisse que le 19 décembre 1994, soit après la conclusion de la transaction et le versement du prix convenu. a) Selon l' art. 74a al. 4 let . c EIMP, l'objet peut être retenu en Suisse notamment si une personne étrangère à l'infraction, dont les prétentions ne sont pas garanties par l'Etat requérant, rend vraisemblable qu'elle a acquis de bonne foi en Suisse des droits sur cet objet. BGE 123 II 134 S. 142 b) S'il semble établi que le recourant est étranger à l'infraction commise en France, il faut par ailleurs présumer, s'agissant d'un Etat lié par l' art. 6 par. 1 CEDH et soumis au contrôle subsidiaire des organes de Strasbourg, que le recourant bénéficiera dans l'Etat requérant d'une protection adéquate de ses prétentions, dans le cadre de la procédure pénale en cours ou, le cas échéant, dans une procédure, civile ou pénale, qui lui permettrait d'opposer à W., propriétaire du tableau volé, ses droits découlant d'une acquisition ultérieure de bonne foi, selon les modalités prévues par le droit français. Cette condition d'application de l' art. 74a al. 4 let . c EIMP faisant apparemment défaut, on peut se demander si le recourant peut invoquer cette disposition. La question peut cependant rester indécise, eu égard à l'issue de la cause. c) Au regard de l' art. 74a al. 4 let . c EIMP, il appartient à l'acquéreur de rendre vraisemblable sa bonne foi. C'est sur lui qui pèse le fardeau de la preuve de son droit. L'autorité chargée de l'exécution de la mesure d'entraide, appelée à décider de la remise d'un objet en vue de sa restitution dans l'Etat requérant, se borne à examiner si les allégations de l'acquéreur sont suffisamment précises et étayées pour admettre la vraisemblance de ses prétentions. Ces principes valent aussi pour l'autorité cantonale de recours et pour le Tribunal fédéral saisi d'un recours de droit administratif pour violation de l' art. 74a al. 4 let . c EIMP. Cette disposition n'exige pas de l'autorité et du juge de l'entraide de déterminer si l'acquéreur est effectivement de bonne foi comme le ferait le juge civil saisi au fond. En particulier, contrairement à ce que prétend le recourant, il n'incombe pas à l'autorité d'examiner en détail l'application au cas d'espèce des art. 3 al. 2, 933 et 934 al. 2 CC qu'il invoque. d) (Sur le vu de l'ensemble des circonstances de la cause, la Chambre d'accusation pouvait admettre que le recourant n'avait pas rapporté la preuve requise par l' art. 74a al. 4 let . c EIMP. Le recourant n'a pas rendu vraisemblable, au sens de l' art. 74a al. 4 let . c EIMP, qu'il aurait pris, avant la transaction, les précautions élémentaires dont doit s'entourer la personne prudence qui acquiert une oeuvre d'art de grande valeur. En particulier, il n'a pas démontré avoir fait à temps toutes les démarches nécessaires pour s'assurer de l'origine du tableau et de la régularité de son importation en Suisse; il n'a pas fait examiner l'oeuvre par un expert qui aurait pu en certifier la provenance, ni pris les mesures idoines pour vérifier que l'oeuvre n'était ni volée ni perdue. En outre, les conditions concrètes de la transaction, ainsi que le prix de vente - très inférieur à la valeur du tableau - n'accréditent pas la thèse du recourant). BGE 123 II 134 S. 143</w:t>
      </w:r>
    </w:p>
    <w:p>
      <w:r>
        <w:rPr>
          <w:b/>
        </w:rPr>
        <w:t>E. 7</w:t>
      </w:r>
    </w:p>
    <w:p>
      <w:r>
        <w:t>a) L'entraide devant être accordée, il reste à déterminer à quel titre le tableau volé sera remis à l'Etat requérant. Selon le nouvel art. 74a al. 3 EIMP , la remise de l'objet saisi à titre conservatoire par l'Etat requis peut intervenir à tous les stades de la procédure étrangère, en règle générale sur décision définitive et exécutoire de l'Etat requérant. Cette disposition confère un large pouvoir d'appréciation à l'autorité d'exécution, laquelle pourra exceptionnellement remettre l'objet en l'absence d'une décision définitive et exécutoire lorsque, comme en l'espèce, la demande tend directement à la restitution de l'objet à son ayant droit, au sens de l'art. 74a al. 1 in fine EIMP. W. étant le propriétaire légitime du tableau volé, rien ne commande d'attendre l'issue de la procédure pénale ouverte dans l'Etat requérant pour procéder à une restitution à l'ayant droit. Une telle solution est au demeurant conforme au voeu du législateur d'accélérer la procédure d'entraide; elle s'inscrit de surcroît dans l'esprit et le système de la Convention no 141 (cf. notamment ses art. 8, 9, 11 à 15; ainsi que ses art. 18 et 19, a contrario). b) De même, il n'y a pas lieu de subordonner l'exécution de la demande à des conditions particulières (art. 20 de la Convention no 141). Le recourant a bénéficié en Suisse, pour ce qui concerne le séquestre du tableau volé, des garanties procédurales offertes par l' art. 6 par. 1 CEDH . S'agissant des prétentions civiles qu'il pourrait faire valoir, le cas échéant, contre l'un ou l'autre des intermédiaires impliqués dans la vente successive du tableau, tant en Suisse, en France, en Italie qu'au Royaume-Uni, tous parties à la Convention no 141, le recourant peut, devant les tribunaux de ces Etats, se prévaloir du droit, garanti par l'art. 5 de cet instrument, de disposer des "recours juridiques effectifs pour préserver (ses) droits", conformément aussi aux art. 6 et 13 CEDH . Aucun motif lié à la protection des droits fondamentaux ne s'oppose ainsi à la restitution du tableau à l'ayant droit dans le cadre de la procédure d'entraide, en application de l'art. 74a al. 1 in fine EIMP, considéré à la lumière des normes du droit international pertinent (cf. art. 1a et 2 let. a EIMP ; art. 5, 18 ch. 1 let. a et b, 19, 20, 22 ch. 2 let a et c de la Convention no 141). c) Enfin, il n'incombe pas au juge de l'entraide de procéder à un examen approfondi des prescriptions du droit étranger supposées applicables. Lorsque, comme en l'espèce, la demande porte sur la restitution d'un bien culturel, le juge de l'entraide doit veiller à prendre en compte l'intérêt public international, commun à la Suisse et à la France, lié à la protection de ces biens (voir, outre la Convention no 141 précitée, pour la France: les art. 1 let . g, 2, 3, 13 BGE 123 II 134 S. 144 et 15 de la Convention de l'Unesco du 14 novembre 1970 concernant les mesures à prendre pour interdire et empêcher l'importation, l'exportation et le transfert de propriété illicite de biens culturels, ratifiée par elle le 7 janvier 1997; pour la France et la Suisse, les art. 3 al. 1, 4, 5 al. 1, 6, 8 et 9 de la Convention d'Unidroit sur les biens culturels volés ou illicitement exportés, du 24 juin 1995, signée par la France et l'Italie à Rome, à cette date, et par la Suisse le 26 juin 1996). Ces normes, qui relèvent d'une commune inspiration, constituent autant d'expressions d'un ordre public international en vigueur ou en formation ( art. 1a EIMP ; cf. MARTIN PHILIPP WYSS, "Rückgabeansprüche für illegal ausgeführte Kulturgüter. Überlegungen zu einem kulturpolitischen Ordre public", in: Tübinger Schriften zum internationalen und europäischen Recht, Band 37, Berlin, 1996 p. 201 ss, 206-208, 214 et 220 ss; cf. également PIERRE LALIVE, La Convention d'UNIDROIT sur les biens culturels volés ou illicitement exportés (du 24 juin 1995), RSDIE 7/1997 p. 13 ss, spécialement p. 32/33 et 35-40, qui met notamment l'accent sur la parenté d'inspiration de cet instrument avec le droit et la pratique suisses en la matière; art. 3 al. 2 et 934 CC ; ATF 122 III 1 ). Ces normes, qui concrétisent l'impératif d'une lutte internationale efficace contre le trafic de biens culturels, permettent en outre de sauvegarder les garanties procédurales nécessaires à la protection des intérêts légitimes du possesseur de bonne foi (cf. consid. 5 et 6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